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Республики Саха (Якутия)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реализации Межведомственного комплексного плана мероприятий по развитию инклюзивного общего и дополнительного образования,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 отдыха, созданию специальных условий для обучающихся с инвалидностью,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ограниченными возможностями здоровья на долгосрочный период (до 2030 года)</w:t>
      </w:r>
      <w:r>
        <w:rPr>
          <w:rFonts w:ascii="Times New Roman" w:hAnsi="Times New Roman"/>
          <w:sz w:val="28"/>
        </w:rPr>
        <w:t xml:space="preserve"> в 2023 году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431"/>
        <w:tblLayout w:type="fixed"/>
      </w:tblPr>
      <w:tblGrid>
        <w:gridCol w:w="711"/>
        <w:gridCol w:w="4253"/>
        <w:gridCol w:w="7513"/>
        <w:gridCol w:w="3084"/>
      </w:tblGrid>
      <w:tr>
        <w:tc>
          <w:tcPr>
            <w:tcW w:type="dxa" w:w="711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4253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</w:t>
            </w:r>
          </w:p>
        </w:tc>
        <w:tc>
          <w:tcPr>
            <w:tcW w:type="dxa" w:w="7513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Информация об исполнении</w:t>
            </w:r>
          </w:p>
        </w:tc>
        <w:tc>
          <w:tcPr>
            <w:tcW w:type="dxa" w:w="308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15561"/>
            <w:gridSpan w:val="4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>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>
        <w:tc>
          <w:tcPr>
            <w:tcW w:type="dxa" w:w="711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53"/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type="dxa" w:w="7513"/>
          </w:tcPr>
          <w:p w14:paraId="0F000000">
            <w:pPr>
              <w:ind/>
              <w:jc w:val="both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</w:t>
            </w:r>
            <w:r>
              <w:rPr>
                <w:rFonts w:ascii="PT Astra Serif" w:hAnsi="PT Astra Serif"/>
                <w:i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Постановление Правительства Республики Саха (Якутия) от 19 октября 2022 г. N 642 «Об утверждении порядка организации питания обучающихся, получающих начальное общее, основное общее и среднее общее образование в государственных образовательных организациях»</w:t>
            </w:r>
            <w:r>
              <w:rPr>
                <w:rFonts w:ascii="PT Astra Serif" w:hAnsi="PT Astra Serif"/>
                <w:i w:val="1"/>
                <w:sz w:val="24"/>
              </w:rPr>
              <w:t>.</w:t>
            </w:r>
          </w:p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PT Astra Serif" w:hAnsi="PT Astra Serif"/>
                <w:i w:val="1"/>
                <w:sz w:val="24"/>
              </w:rPr>
              <w:t xml:space="preserve">- </w:t>
            </w:r>
            <w:r>
              <w:rPr>
                <w:rFonts w:ascii="PT Astra Serif" w:hAnsi="PT Astra Serif"/>
                <w:sz w:val="24"/>
              </w:rPr>
              <w:t>Указ Главы Республики Саха (Якутия) от 30</w:t>
            </w:r>
            <w:r>
              <w:rPr>
                <w:rFonts w:ascii="Times New Roman" w:hAnsi="Times New Roman"/>
                <w:sz w:val="24"/>
              </w:rPr>
              <w:t xml:space="preserve"> декабря 2023 г. №177 «О развитии единой системы образования Республики Саха (Якутия)», в котором указано о развитии инклюзивного образования в целом.</w:t>
            </w:r>
          </w:p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84"/>
          </w:tcPr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Разрабатывается региональная специальная программа о развитии инклюзивного образования в Республике Саха (Якутия), специального образования, обновление материально-технической базы.</w:t>
            </w:r>
          </w:p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Разработана Дорожная карта по переходу 17 мунциипальных специальных (коррекционных) школ-интернатов на государственный уровень.</w:t>
            </w:r>
          </w:p>
        </w:tc>
      </w:tr>
      <w:tr>
        <w:tc>
          <w:tcPr>
            <w:tcW w:type="dxa" w:w="711"/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253"/>
          </w:tcPr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type="dxa" w:w="7513"/>
          </w:tcPr>
          <w:p w14:paraId="16000000">
            <w:pPr>
              <w:pStyle w:val="Style_4"/>
              <w:ind w:firstLine="567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05-09 февраля 2024 г. проведена Н</w:t>
            </w:r>
            <w:r>
              <w:rPr>
                <w:rFonts w:ascii="Times New Roman" w:hAnsi="Times New Roman"/>
                <w:sz w:val="24"/>
              </w:rPr>
              <w:t xml:space="preserve">еделя Института коррекционной педагогики в Республике Саха (Якутия) г. Якутске «Детство равных возможностей» </w:t>
            </w:r>
            <w:r>
              <w:rPr>
                <w:rFonts w:ascii="Times New Roman" w:hAnsi="Times New Roman"/>
                <w:sz w:val="24"/>
              </w:rPr>
              <w:t>(г. Москва) с</w:t>
            </w:r>
            <w:r>
              <w:rPr>
                <w:rFonts w:ascii="Times New Roman" w:hAnsi="Times New Roman"/>
                <w:sz w:val="24"/>
              </w:rPr>
              <w:t xml:space="preserve"> целью оказания методической помощи специальным (коррекционным) учреждени</w:t>
            </w:r>
            <w:r>
              <w:rPr>
                <w:rFonts w:ascii="Times New Roman" w:hAnsi="Times New Roman"/>
                <w:sz w:val="24"/>
              </w:rPr>
              <w:t xml:space="preserve">ям республики и развития инклюзивного образования, в которой приняли участие </w:t>
            </w: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</w:rPr>
              <w:t>ФГБНУ «Институт коррекционной педагогики» Карпова Д.А., с другими научными сотрудниками института и 250</w:t>
            </w:r>
            <w:r>
              <w:rPr>
                <w:rFonts w:ascii="Times New Roman" w:hAnsi="Times New Roman"/>
                <w:sz w:val="24"/>
              </w:rPr>
              <w:t xml:space="preserve"> педагогов очно и 543 заочно из </w:t>
            </w:r>
            <w:r>
              <w:rPr>
                <w:rFonts w:ascii="Times New Roman" w:hAnsi="Times New Roman"/>
                <w:sz w:val="24"/>
              </w:rPr>
              <w:t xml:space="preserve">общеобразовательных организаций </w:t>
            </w:r>
            <w:r>
              <w:rPr>
                <w:rFonts w:ascii="Times New Roman" w:hAnsi="Times New Roman"/>
                <w:sz w:val="24"/>
              </w:rPr>
              <w:t>Республики Саха (Якутия)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7000000">
            <w:pPr>
              <w:pStyle w:val="Style_4"/>
              <w:ind w:firstLine="567" w:lef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 18- 21 февраля 2024 г. приняли участие в </w:t>
            </w:r>
            <w:r>
              <w:rPr>
                <w:rFonts w:ascii="PT Astra Serif" w:hAnsi="PT Astra Serif"/>
                <w:sz w:val="24"/>
              </w:rPr>
              <w:t>обучающих мероприятиях, реализующих адаптированные образовательные программы для детей с нарушением слуха на площадке Центра знаний «Машук», Ставропольский край, г. Пятигорск (Алексеева О.И., главный специалист Департамента государственной политики в сфере общего образования, воспитания и дополнительного образования Министерства образования и науки РС (Я), Мартынова Т.Ф., директор ГКОУ «Республиканская специальная (коррекционная) общеобразовательная школа-интернат», Аргунова И.И., заместитель директора по учебно-методической работе ГКОУ «Республиканская специальная (коррекционная) школаинтернат для неслышащих обучающихся».</w:t>
            </w:r>
          </w:p>
        </w:tc>
        <w:tc>
          <w:tcPr>
            <w:tcW w:type="dxa" w:w="3084"/>
          </w:tcPr>
          <w:p w14:paraId="1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 на региональном уровне курирует Институт развития образования и повышения квалицикации. </w:t>
            </w:r>
          </w:p>
        </w:tc>
      </w:tr>
      <w:tr>
        <w:tc>
          <w:tcPr>
            <w:tcW w:type="dxa" w:w="711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</w:t>
            </w:r>
          </w:p>
        </w:tc>
        <w:tc>
          <w:tcPr>
            <w:tcW w:type="dxa" w:w="4253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type="dxa" w:w="7513"/>
          </w:tcPr>
          <w:p w14:paraId="1B000000">
            <w:pPr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1-3 августа 2023 года </w:t>
            </w:r>
            <w:r>
              <w:rPr>
                <w:rFonts w:ascii="Times New Roman" w:hAnsi="Times New Roman"/>
                <w:sz w:val="24"/>
              </w:rPr>
              <w:t xml:space="preserve">специалисты Центральной ПМПК приняли участие в организации курсов повышения квалификации </w:t>
            </w:r>
            <w:r>
              <w:rPr>
                <w:rFonts w:ascii="Times New Roman" w:hAnsi="Times New Roman"/>
                <w:sz w:val="24"/>
              </w:rPr>
              <w:t xml:space="preserve">для педагогов образовательных организаций, учителей-дефектологов, учителей-логопедов, психологов, социальных педагогов, воспитателей ДОУ на тему «Современные подходы в организации учебно-воспитательного процесса для обучающихся с ОВЗ и </w:t>
            </w:r>
            <w:r>
              <w:rPr>
                <w:rFonts w:ascii="Times New Roman" w:hAnsi="Times New Roman"/>
                <w:sz w:val="24"/>
              </w:rPr>
              <w:t>девиантным</w:t>
            </w:r>
            <w:r>
              <w:rPr>
                <w:rFonts w:ascii="Times New Roman" w:hAnsi="Times New Roman"/>
                <w:sz w:val="24"/>
              </w:rPr>
              <w:t xml:space="preserve"> поведением», </w:t>
            </w:r>
            <w:r>
              <w:rPr>
                <w:rFonts w:ascii="Times New Roman" w:hAnsi="Times New Roman"/>
                <w:sz w:val="24"/>
              </w:rPr>
              <w:t xml:space="preserve">удостоверения ГБУ ДПО «РМЦ </w:t>
            </w:r>
            <w:r>
              <w:rPr>
                <w:rFonts w:ascii="Times New Roman" w:hAnsi="Times New Roman"/>
                <w:sz w:val="24"/>
              </w:rPr>
              <w:t xml:space="preserve">ППС»   </w:t>
            </w:r>
            <w:r>
              <w:rPr>
                <w:rFonts w:ascii="Times New Roman" w:hAnsi="Times New Roman"/>
                <w:sz w:val="24"/>
              </w:rPr>
              <w:t xml:space="preserve">в количестве 72 ч., обучение прошло 386 специалистов. </w:t>
            </w:r>
          </w:p>
          <w:p w14:paraId="1C000000">
            <w:pPr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11-14 декабря 2023 года специалистами Центральной ПМПК проведены курсы повышения квалификации для руководителей и специалистов территориальных ПМПК «Организация и содержание деятельности психолого-медико-педагогических комиссий в современных условиях развития образования», выданы удостоверения ГБУ ДПО «РМЦ ППС» в количестве 36 ч.,</w:t>
            </w:r>
            <w:r>
              <w:rPr>
                <w:rFonts w:ascii="Times New Roman" w:hAnsi="Times New Roman"/>
                <w:sz w:val="24"/>
              </w:rPr>
              <w:t xml:space="preserve"> обучение прошло 18 специалистов.</w:t>
            </w:r>
          </w:p>
          <w:p w14:paraId="1D000000">
            <w:pPr>
              <w:spacing w:after="0" w:line="240" w:lineRule="auto"/>
              <w:ind w:firstLine="567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</w:t>
            </w:r>
            <w:r>
              <w:rPr>
                <w:rFonts w:ascii="PT Astra Serif" w:hAnsi="PT Astra Serif"/>
                <w:sz w:val="24"/>
              </w:rPr>
              <w:t>а 2023 год специалистам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ЦПМПК проведены методические с</w:t>
            </w:r>
            <w:r>
              <w:rPr>
                <w:rFonts w:ascii="PT Astra Serif" w:hAnsi="PT Astra Serif"/>
                <w:sz w:val="24"/>
              </w:rPr>
              <w:t>еминар</w:t>
            </w:r>
            <w:r>
              <w:rPr>
                <w:rFonts w:ascii="PT Astra Serif" w:hAnsi="PT Astra Serif"/>
                <w:sz w:val="24"/>
              </w:rPr>
              <w:t xml:space="preserve">ы </w:t>
            </w:r>
            <w:r>
              <w:rPr>
                <w:rFonts w:ascii="PT Astra Serif" w:hAnsi="PT Astra Serif"/>
                <w:sz w:val="24"/>
              </w:rPr>
              <w:t xml:space="preserve">«Повышение профессиональных компетенций педагога по вопросам организации обучения обучающихся с ограниченными возможностями здоровья и </w:t>
            </w:r>
            <w:r>
              <w:rPr>
                <w:rFonts w:ascii="PT Astra Serif" w:hAnsi="PT Astra Serif"/>
                <w:sz w:val="24"/>
              </w:rPr>
              <w:t>инвалидностью»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 для</w:t>
            </w:r>
            <w:r>
              <w:rPr>
                <w:rFonts w:ascii="PT Astra Serif" w:hAnsi="PT Astra Serif"/>
                <w:sz w:val="24"/>
              </w:rPr>
              <w:t xml:space="preserve"> педагогов </w:t>
            </w:r>
            <w:r>
              <w:rPr>
                <w:rFonts w:ascii="PT Astra Serif" w:hAnsi="PT Astra Serif"/>
                <w:sz w:val="24"/>
              </w:rPr>
              <w:t>Верхнеколымского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Абыйского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Верхоянского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Усть</w:t>
            </w:r>
            <w:r>
              <w:rPr>
                <w:rFonts w:ascii="PT Astra Serif" w:hAnsi="PT Astra Serif"/>
                <w:sz w:val="24"/>
              </w:rPr>
              <w:t>-М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 xml:space="preserve">йского, </w:t>
            </w:r>
            <w:r>
              <w:rPr>
                <w:rFonts w:ascii="PT Astra Serif" w:hAnsi="PT Astra Serif"/>
                <w:sz w:val="24"/>
              </w:rPr>
              <w:t>Амгинского</w:t>
            </w:r>
            <w:r>
              <w:rPr>
                <w:rFonts w:ascii="PT Astra Serif" w:hAnsi="PT Astra Serif"/>
                <w:sz w:val="24"/>
              </w:rPr>
              <w:t xml:space="preserve">, Горного, </w:t>
            </w:r>
            <w:r>
              <w:rPr>
                <w:rFonts w:ascii="PT Astra Serif" w:hAnsi="PT Astra Serif"/>
                <w:sz w:val="24"/>
              </w:rPr>
              <w:t>Аллаиховского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Булунского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Эвено-Бытантайского</w:t>
            </w:r>
            <w:r>
              <w:rPr>
                <w:rFonts w:ascii="PT Astra Serif" w:hAnsi="PT Astra Serif"/>
                <w:sz w:val="24"/>
              </w:rPr>
              <w:t xml:space="preserve"> улусов, а также слушателей </w:t>
            </w:r>
            <w:r>
              <w:rPr>
                <w:rFonts w:ascii="PT Astra Serif" w:hAnsi="PT Astra Serif"/>
                <w:sz w:val="24"/>
              </w:rPr>
              <w:t>ИРОиПК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- всего 348 слушателей.</w:t>
            </w:r>
          </w:p>
          <w:p w14:paraId="1E000000">
            <w:pPr>
              <w:spacing w:after="0" w:line="240" w:lineRule="auto"/>
              <w:ind w:firstLine="567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Выездной семинар </w:t>
            </w:r>
            <w:r>
              <w:rPr>
                <w:rFonts w:ascii="PT Astra Serif" w:hAnsi="PT Astra Serif"/>
                <w:sz w:val="24"/>
              </w:rPr>
              <w:t xml:space="preserve">ГБУ ДПО «РМЦППС» </w:t>
            </w:r>
            <w:r>
              <w:rPr>
                <w:rFonts w:ascii="PT Astra Serif" w:hAnsi="PT Astra Serif"/>
                <w:sz w:val="24"/>
              </w:rPr>
              <w:t xml:space="preserve">для педагогов в </w:t>
            </w:r>
            <w:r>
              <w:rPr>
                <w:rFonts w:ascii="PT Astra Serif" w:hAnsi="PT Astra Serif"/>
                <w:sz w:val="24"/>
              </w:rPr>
              <w:t>Анабарском</w:t>
            </w:r>
            <w:r>
              <w:rPr>
                <w:rFonts w:ascii="PT Astra Serif" w:hAnsi="PT Astra Serif"/>
                <w:sz w:val="24"/>
              </w:rPr>
              <w:t xml:space="preserve"> улусе проходит с 11 по 14 марта 2024 г. с участием детского врача-психиатра из Консультативной поликлиники</w:t>
            </w:r>
            <w:r>
              <w:rPr>
                <w:rFonts w:ascii="PT Astra Serif" w:hAnsi="PT Astra Serif"/>
                <w:sz w:val="24"/>
              </w:rPr>
              <w:t xml:space="preserve">   Педиатрического центра ГАУ Р</w:t>
            </w:r>
            <w:r>
              <w:rPr>
                <w:rFonts w:ascii="PT Astra Serif" w:hAnsi="PT Astra Serif"/>
                <w:sz w:val="24"/>
              </w:rPr>
              <w:t>С(</w:t>
            </w:r>
            <w:r>
              <w:rPr>
                <w:rFonts w:ascii="PT Astra Serif" w:hAnsi="PT Astra Serif"/>
                <w:sz w:val="24"/>
              </w:rPr>
              <w:t>Я)  «Республиканская больница №1 – Национальный центр медицины имени М.Е.Николаева»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1F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январе проведены выездные семинары для педагогов </w:t>
            </w:r>
            <w:r>
              <w:rPr>
                <w:rFonts w:ascii="Times New Roman" w:hAnsi="Times New Roman"/>
                <w:sz w:val="24"/>
              </w:rPr>
              <w:t>Томпонского</w:t>
            </w:r>
            <w:r>
              <w:rPr>
                <w:rFonts w:ascii="Times New Roman" w:hAnsi="Times New Roman"/>
                <w:sz w:val="24"/>
              </w:rPr>
              <w:t xml:space="preserve"> улуса. </w:t>
            </w:r>
            <w:r>
              <w:rPr>
                <w:rFonts w:ascii="Times New Roman" w:hAnsi="Times New Roman"/>
                <w:sz w:val="24"/>
              </w:rPr>
              <w:t xml:space="preserve">В феврале прошли выездные семинары в </w:t>
            </w:r>
            <w:r>
              <w:rPr>
                <w:rFonts w:ascii="Times New Roman" w:hAnsi="Times New Roman"/>
                <w:sz w:val="24"/>
              </w:rPr>
              <w:t>Усть-Майском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Нижнеколымском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Верхнеколымском</w:t>
            </w:r>
            <w:r>
              <w:rPr>
                <w:rFonts w:ascii="Times New Roman" w:hAnsi="Times New Roman"/>
                <w:sz w:val="24"/>
              </w:rPr>
              <w:t xml:space="preserve"> улусах. </w:t>
            </w:r>
            <w:r>
              <w:rPr>
                <w:rFonts w:ascii="Times New Roman" w:hAnsi="Times New Roman"/>
                <w:sz w:val="24"/>
              </w:rPr>
              <w:t xml:space="preserve">В марте 2024 года организуются выездные семинары для педагогов </w:t>
            </w:r>
            <w:r>
              <w:rPr>
                <w:rFonts w:ascii="Times New Roman" w:hAnsi="Times New Roman"/>
                <w:sz w:val="24"/>
              </w:rPr>
              <w:t>Момского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Чурапчинского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Оймяконского</w:t>
            </w:r>
            <w:r>
              <w:rPr>
                <w:rFonts w:ascii="Times New Roman" w:hAnsi="Times New Roman"/>
                <w:sz w:val="24"/>
              </w:rPr>
              <w:t xml:space="preserve"> улусов. В апреле для педагогов </w:t>
            </w:r>
            <w:r>
              <w:rPr>
                <w:rFonts w:ascii="Times New Roman" w:hAnsi="Times New Roman"/>
                <w:sz w:val="24"/>
              </w:rPr>
              <w:t>Среднеколымского</w:t>
            </w:r>
            <w:r>
              <w:rPr>
                <w:rFonts w:ascii="Times New Roman" w:hAnsi="Times New Roman"/>
                <w:sz w:val="24"/>
              </w:rPr>
              <w:t xml:space="preserve">, Верхнеколымского, </w:t>
            </w:r>
            <w:r>
              <w:rPr>
                <w:rFonts w:ascii="Times New Roman" w:hAnsi="Times New Roman"/>
                <w:sz w:val="24"/>
              </w:rPr>
              <w:t>Жиганского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Намского</w:t>
            </w:r>
            <w:r>
              <w:rPr>
                <w:rFonts w:ascii="Times New Roman" w:hAnsi="Times New Roman"/>
                <w:sz w:val="24"/>
              </w:rPr>
              <w:t xml:space="preserve"> улусов. </w:t>
            </w:r>
          </w:p>
          <w:p w14:paraId="20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Также с февраля проводятся </w:t>
            </w:r>
            <w:r>
              <w:rPr>
                <w:rFonts w:ascii="Times New Roman" w:hAnsi="Times New Roman"/>
                <w:sz w:val="24"/>
              </w:rPr>
              <w:t>стажировочные</w:t>
            </w:r>
            <w:r>
              <w:rPr>
                <w:rFonts w:ascii="Times New Roman" w:hAnsi="Times New Roman"/>
                <w:sz w:val="24"/>
              </w:rPr>
              <w:t xml:space="preserve"> семинары и курсы повышения квалификации для воспитателей дошкольных образовательных организаций. </w:t>
            </w:r>
          </w:p>
          <w:p w14:paraId="21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марте состоялись курсы повышения квалификации для учителей-логопедов республики на базе ГБУ ДПО «РМЦППС» совместно с ГКОУ «Республиканская специальная (коррекционная) школа интернат для детей с тяжелыми нарушениями речи».</w:t>
            </w:r>
          </w:p>
          <w:p w14:paraId="22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28 февраля по 1 марта 2024 года прошли курсы повышения квалификации педагогов-психологов</w:t>
            </w:r>
            <w:r>
              <w:rPr>
                <w:rFonts w:ascii="Times New Roman" w:hAnsi="Times New Roman"/>
                <w:sz w:val="24"/>
              </w:rPr>
              <w:t xml:space="preserve"> на базе </w:t>
            </w:r>
            <w:r>
              <w:rPr>
                <w:rFonts w:ascii="Times New Roman" w:hAnsi="Times New Roman"/>
                <w:sz w:val="24"/>
              </w:rPr>
              <w:t>ГБУ ДПО «РМЦППС»</w:t>
            </w:r>
            <w:r>
              <w:rPr>
                <w:rFonts w:ascii="Times New Roman" w:hAnsi="Times New Roman"/>
                <w:sz w:val="24"/>
              </w:rPr>
              <w:t xml:space="preserve"> с участием лекторов Пединститута СВФУ им. </w:t>
            </w:r>
            <w:r>
              <w:rPr>
                <w:rFonts w:ascii="Times New Roman" w:hAnsi="Times New Roman"/>
                <w:sz w:val="24"/>
              </w:rPr>
              <w:t>М.К.Аммосова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3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Центральной ПМПК проведены методические семинары в </w:t>
            </w:r>
            <w:r>
              <w:rPr>
                <w:rFonts w:ascii="Times New Roman" w:hAnsi="Times New Roman"/>
                <w:sz w:val="24"/>
              </w:rPr>
              <w:t>Усть-Майском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Нижнеколымском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Верхнеколымском</w:t>
            </w:r>
            <w:r>
              <w:rPr>
                <w:rFonts w:ascii="Times New Roman" w:hAnsi="Times New Roman"/>
                <w:sz w:val="24"/>
              </w:rPr>
              <w:t xml:space="preserve"> улусах на темы </w:t>
            </w:r>
            <w:r>
              <w:rPr>
                <w:rFonts w:ascii="Times New Roman" w:hAnsi="Times New Roman"/>
                <w:sz w:val="24"/>
              </w:rPr>
              <w:t xml:space="preserve">«Повышение профессиональных компетенций </w:t>
            </w:r>
            <w:r>
              <w:rPr>
                <w:rFonts w:ascii="Times New Roman" w:hAnsi="Times New Roman"/>
                <w:sz w:val="24"/>
              </w:rPr>
              <w:t>педагогов</w:t>
            </w:r>
            <w:r>
              <w:rPr>
                <w:rFonts w:ascii="Times New Roman" w:hAnsi="Times New Roman"/>
                <w:sz w:val="24"/>
              </w:rPr>
              <w:t xml:space="preserve"> по вопросам обучения обучающихся </w:t>
            </w:r>
            <w:r>
              <w:rPr>
                <w:rFonts w:ascii="Times New Roman" w:hAnsi="Times New Roman"/>
                <w:sz w:val="24"/>
              </w:rPr>
              <w:t xml:space="preserve"> с ОВЗ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«Повышение профессиональных компетенций педагогов по вопросам обучения обучающихся </w:t>
            </w:r>
            <w:r>
              <w:rPr>
                <w:rFonts w:ascii="Times New Roman" w:hAnsi="Times New Roman"/>
                <w:sz w:val="24"/>
              </w:rPr>
              <w:t xml:space="preserve"> с тяжелыми нарушениями речи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- всего 136 педагогов. </w:t>
            </w:r>
          </w:p>
          <w:p w14:paraId="24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реализации родительского лектория «Родительская среда», разработанного </w:t>
            </w:r>
            <w:r>
              <w:rPr>
                <w:rFonts w:ascii="Times New Roman" w:hAnsi="Times New Roman"/>
                <w:sz w:val="24"/>
              </w:rPr>
              <w:t>ГБУ ДПО «РМЦППС» с января по 11 марта 2024 года</w:t>
            </w:r>
            <w:r>
              <w:rPr>
                <w:rFonts w:ascii="Times New Roman" w:hAnsi="Times New Roman"/>
                <w:sz w:val="24"/>
              </w:rPr>
              <w:t xml:space="preserve"> проведены 6 </w:t>
            </w:r>
            <w:r>
              <w:rPr>
                <w:rFonts w:ascii="Times New Roman" w:hAnsi="Times New Roman"/>
                <w:sz w:val="24"/>
              </w:rPr>
              <w:t>онлайн-родительских</w:t>
            </w:r>
            <w:r>
              <w:rPr>
                <w:rFonts w:ascii="Times New Roman" w:hAnsi="Times New Roman"/>
                <w:sz w:val="24"/>
              </w:rPr>
              <w:t xml:space="preserve"> собраний  с общим охватом 492 родителя. </w:t>
            </w:r>
          </w:p>
          <w:p w14:paraId="25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сайте ГБУ ДПО “Республиканский методический центр психолого-педагогического сопровождения” https://14rcpmss.obr.sakha.gov.ru 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змещено </w:t>
            </w:r>
            <w:r>
              <w:rPr>
                <w:rFonts w:ascii="Times New Roman" w:hAnsi="Times New Roman"/>
                <w:color w:val="000000"/>
                <w:sz w:val="24"/>
              </w:rPr>
              <w:t>7 информаций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в государственных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пабликах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ГБУ ДПО «РМЦППС»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telegram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канале https://t.me/rcpmss14, на официальной странице «</w:t>
            </w:r>
            <w:r>
              <w:rPr>
                <w:rFonts w:ascii="Times New Roman" w:hAnsi="Times New Roman"/>
                <w:color w:val="000000"/>
                <w:sz w:val="24"/>
              </w:rPr>
              <w:t>ВКонтакте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https://vk.com/14rcpmss, https://ok.ru/group/70000001032492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размещено </w:t>
            </w:r>
            <w:r>
              <w:rPr>
                <w:rFonts w:ascii="Times New Roman" w:hAnsi="Times New Roman"/>
                <w:color w:val="000000"/>
                <w:sz w:val="24"/>
              </w:rPr>
              <w:t>по 17 сообщений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084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61"/>
            <w:gridSpan w:val="4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>
        <w:tc>
          <w:tcPr>
            <w:tcW w:type="dxa" w:w="711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</w:t>
            </w:r>
          </w:p>
        </w:tc>
        <w:tc>
          <w:tcPr>
            <w:tcW w:type="dxa" w:w="4253"/>
          </w:tcPr>
          <w:p w14:paraId="2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type="dxa" w:w="7513"/>
            <w:shd w:fill="FFFFFF" w:val="clear"/>
          </w:tcPr>
          <w:p w14:paraId="2B000000">
            <w:pPr>
              <w:pStyle w:val="Style_4"/>
              <w:spacing w:after="0"/>
              <w:ind w:firstLine="709" w:left="0"/>
              <w:jc w:val="both"/>
              <w:rPr>
                <w:rFonts w:ascii="PT Astra Serif" w:hAnsi="PT Astra Serif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Координационный совет по развитию инклюзвиного образования создан </w:t>
            </w:r>
            <w:r>
              <w:rPr>
                <w:rFonts w:ascii="Times New Roman" w:hAnsi="Times New Roman"/>
                <w:sz w:val="24"/>
              </w:rPr>
              <w:t>Распоряжением Правительства РС (Я) в 2019 г. и ведет свою деятельность под председательством заместителя Председателя Правительства РС (Я), заседание которого проводится ежеквартально (состав Минздрав, Минтруд, Минмол, Минспорт, председатель ВО</w:t>
            </w:r>
            <w:r>
              <w:rPr>
                <w:rFonts w:ascii="PT Astra Serif" w:hAnsi="PT Astra Serif"/>
                <w:sz w:val="24"/>
              </w:rPr>
              <w:t xml:space="preserve">РДИ, </w:t>
            </w:r>
            <w:r>
              <w:rPr>
                <w:rFonts w:ascii="PT Astra Serif" w:hAnsi="PT Astra Serif"/>
                <w:sz w:val="24"/>
              </w:rPr>
              <w:t>д</w:t>
            </w:r>
            <w:r>
              <w:rPr>
                <w:rFonts w:ascii="PT Astra Serif" w:hAnsi="PT Astra Serif"/>
                <w:sz w:val="24"/>
              </w:rPr>
              <w:t>иректор</w:t>
            </w:r>
            <w:r>
              <w:rPr>
                <w:rFonts w:ascii="PT Astra Serif" w:hAnsi="PT Astra Serif"/>
                <w:sz w:val="24"/>
              </w:rPr>
              <w:t xml:space="preserve"> Северо-Восточного научно-инновационного центра развития инклюзивного образования СВФУ</w:t>
            </w:r>
            <w:r>
              <w:rPr>
                <w:rFonts w:ascii="PT Astra Serif" w:hAnsi="PT Astra Serif"/>
                <w:sz w:val="24"/>
              </w:rPr>
              <w:t xml:space="preserve"> им. </w:t>
            </w:r>
            <w:r>
              <w:rPr>
                <w:rFonts w:ascii="PT Astra Serif" w:hAnsi="PT Astra Serif"/>
                <w:sz w:val="24"/>
              </w:rPr>
              <w:t>Аммосова</w:t>
            </w:r>
            <w:r>
              <w:rPr>
                <w:rFonts w:ascii="PT Astra Serif" w:hAnsi="PT Astra Serif"/>
                <w:sz w:val="24"/>
              </w:rPr>
              <w:t>).</w:t>
            </w:r>
          </w:p>
          <w:p w14:paraId="2C000000">
            <w:pPr>
              <w:pStyle w:val="Style_4"/>
              <w:spacing w:after="0"/>
              <w:ind w:firstLine="709" w:left="0"/>
              <w:jc w:val="both"/>
              <w:rPr>
                <w:rFonts w:ascii="PT Astra Serif" w:hAnsi="PT Astra Serif"/>
                <w:b w:val="0"/>
                <w:color w:val="00000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z w:val="24"/>
              </w:rPr>
              <w:t xml:space="preserve">В 2023 г. под председательством заместителя Председателя Правительства РС (Я) Семенова А.А. проведены 2 заседания, в которых были рассмотрены о работе Координационного совета, о принятии Плана работы Координационного совета на 2024 </w:t>
            </w:r>
            <w:r>
              <w:rPr>
                <w:rFonts w:ascii="PT Astra Serif" w:hAnsi="PT Astra Serif"/>
                <w:b w:val="0"/>
                <w:color w:val="000000"/>
                <w:sz w:val="24"/>
              </w:rPr>
              <w:t xml:space="preserve">год, </w:t>
            </w:r>
            <w:r>
              <w:rPr>
                <w:rFonts w:ascii="PT Astra Serif" w:hAnsi="PT Astra Serif"/>
                <w:sz w:val="24"/>
              </w:rPr>
              <w:t xml:space="preserve">о реализации Плана работы </w:t>
            </w:r>
            <w:r>
              <w:rPr>
                <w:rFonts w:ascii="PT Astra Serif" w:hAnsi="PT Astra Serif"/>
                <w:sz w:val="24"/>
              </w:rPr>
              <w:t>Координационного совета за 1 квартал 2024 г., об и</w:t>
            </w:r>
            <w:r>
              <w:rPr>
                <w:rFonts w:ascii="PT Astra Serif" w:hAnsi="PT Astra Serif"/>
                <w:sz w:val="24"/>
              </w:rPr>
              <w:t>нституциональном развитии инклюзивного образования в Республике Саха (Якутия).</w:t>
            </w:r>
          </w:p>
          <w:p w14:paraId="2D000000">
            <w:pPr>
              <w:pStyle w:val="Style_4"/>
              <w:spacing w:after="0"/>
              <w:ind w:firstLine="709" w:lef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z w:val="24"/>
              </w:rPr>
              <w:t>План работы Координационного совета на 2024 год включает в</w:t>
            </w:r>
            <w:r>
              <w:rPr>
                <w:rFonts w:ascii="PT Astra Serif" w:hAnsi="PT Astra Serif"/>
                <w:b w:val="0"/>
                <w:color w:val="000000"/>
                <w:sz w:val="24"/>
              </w:rPr>
              <w:t xml:space="preserve"> себя проведение семинаров, курсов повышения квалификации для педагогов общеобр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азовательных организаций, круглых столов по вопросам организации инклюзивного образования, разработку и апробацию инновационных программ, а также создание во всех муниципальных районах и городских округах Координационных советов по инклюзивному образованию. Основной задачей работы Координационного совета является координация внедрения непрерывной системы инклюзивного образования обучающихся с ограниченными возможностями здоровья по всем уровням образования ДОУ, ОО, СПО, ВО.</w:t>
            </w:r>
          </w:p>
        </w:tc>
        <w:tc>
          <w:tcPr>
            <w:tcW w:type="dxa" w:w="3084"/>
          </w:tcPr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61"/>
            <w:gridSpan w:val="4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  <w:r>
              <w:rPr>
                <w:rFonts w:ascii="Times New Roman" w:hAnsi="Times New Roman"/>
                <w:b w:val="1"/>
                <w:sz w:val="24"/>
              </w:rPr>
              <w:t xml:space="preserve">. Создание учебно-методического и дидактического обеспечения образования обучающихся </w:t>
            </w:r>
            <w:r>
              <w:rPr>
                <w:rFonts w:ascii="Times New Roman" w:hAnsi="Times New Roman"/>
                <w:b w:val="1"/>
                <w:sz w:val="24"/>
              </w:rPr>
              <w:t>с инвалидностью, с ОВЗ</w:t>
            </w:r>
          </w:p>
        </w:tc>
      </w:tr>
      <w:tr>
        <w:tc>
          <w:tcPr>
            <w:tcW w:type="dxa" w:w="711"/>
            <w:shd w:fill="auto" w:val="clear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53"/>
            <w:shd w:fill="auto" w:val="clear"/>
          </w:tcPr>
          <w:p w14:paraId="3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type="dxa" w:w="7513"/>
            <w:shd w:fill="auto" w:val="clear"/>
          </w:tcPr>
          <w:p w14:paraId="32000000">
            <w:pPr>
              <w:ind w:firstLine="567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Обеспечение обучающихся с инвалидностью, с ОВЗ специальными учебниками (учебными пособиями), в том числе используемыми для обучения обучающихся с нарушениями зрения:</w:t>
            </w:r>
          </w:p>
          <w:p w14:paraId="33000000">
            <w:pPr>
              <w:numPr>
                <w:numId w:val="1"/>
              </w:numPr>
              <w:ind w:firstLine="567" w:left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доля обучающихся с ОВЗ, обеспеченных специальными учебниками (учебными пособиями) 85%;</w:t>
            </w:r>
          </w:p>
          <w:p w14:paraId="34000000">
            <w:pPr>
              <w:numPr>
                <w:numId w:val="1"/>
              </w:numPr>
              <w:ind w:firstLine="567" w:left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 изменении с 2022 г. доля обучающихся с ОВЗ, обеспеченных специальными учебниками (учебными пособиями) 65%;</w:t>
            </w:r>
          </w:p>
          <w:p w14:paraId="35000000">
            <w:pPr>
              <w:numPr>
                <w:numId w:val="1"/>
              </w:numPr>
              <w:ind w:firstLine="567" w:left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доля обучающихся с ОВЗ, которые пользуются в процессе обучения обычными учебниками (и им не требуются специальные) 70%.</w:t>
            </w:r>
          </w:p>
          <w:p w14:paraId="36000000">
            <w:pPr>
              <w:numPr>
                <w:numId w:val="1"/>
              </w:numPr>
              <w:ind w:firstLine="567" w:left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доля обучающихся с нарушениями зрения, обеспеченных специальными учебниками (учебными пособиями), отпечатанными с использованием системы Брайля составляет 100%;</w:t>
            </w:r>
          </w:p>
          <w:p w14:paraId="37000000">
            <w:pPr>
              <w:numPr>
                <w:numId w:val="1"/>
              </w:numPr>
              <w:ind w:firstLine="567" w:left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об изменении с 2022 г. доля обучающихся с нарушениями зрения, обеспеченных специальными учебниками (учебными пособиями), отпечатанными с использованием системы Брайля </w:t>
            </w:r>
            <w:r>
              <w:rPr>
                <w:rFonts w:ascii="Times New Roman" w:hAnsi="Times New Roman"/>
                <w:i w:val="0"/>
                <w:sz w:val="24"/>
              </w:rPr>
              <w:t>составляет 100%;</w:t>
            </w:r>
          </w:p>
          <w:p w14:paraId="38000000">
            <w:pPr>
              <w:numPr>
                <w:numId w:val="1"/>
              </w:numPr>
              <w:ind w:firstLine="567" w:left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потребность в специальных учебниках (учебных пособиях) имеется по якутскому языку.</w:t>
            </w:r>
          </w:p>
        </w:tc>
        <w:tc>
          <w:tcPr>
            <w:tcW w:type="dxa" w:w="3084"/>
            <w:shd w:fill="auto" w:val="clear"/>
          </w:tcPr>
          <w:p w14:paraId="3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</w:t>
            </w:r>
          </w:p>
        </w:tc>
        <w:tc>
          <w:tcPr>
            <w:tcW w:type="dxa" w:w="4253"/>
          </w:tcPr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type="dxa" w:w="7513"/>
          </w:tcPr>
          <w:p w14:paraId="3C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084"/>
          </w:tcPr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61"/>
            <w:gridSpan w:val="4"/>
          </w:tcPr>
          <w:p w14:paraId="3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IV. Развитие инфраструктуры образования обучающихся с инвалидностью, с ОВЗ</w:t>
            </w:r>
          </w:p>
        </w:tc>
      </w:tr>
      <w:tr>
        <w:tc>
          <w:tcPr>
            <w:tcW w:type="dxa" w:w="711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53"/>
          </w:tcPr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type="dxa" w:w="7513"/>
          </w:tcPr>
          <w:p w14:paraId="41000000">
            <w:pPr>
              <w:ind w:firstLine="567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 Республике Саха (Якутия) 678 </w:t>
            </w:r>
            <w:r>
              <w:rPr>
                <w:rFonts w:ascii="Times New Roman" w:hAnsi="Times New Roman"/>
                <w:sz w:val="24"/>
              </w:rPr>
              <w:t xml:space="preserve"> дошкольных образовательных организаций, в которых созданы условия для детей с инвалидностью</w:t>
            </w:r>
            <w:r>
              <w:rPr>
                <w:rFonts w:ascii="PT Astra Serif" w:hAnsi="PT Astra Serif"/>
                <w:sz w:val="24"/>
              </w:rPr>
              <w:t>, с ограниченными возможностями здоровья.</w:t>
            </w:r>
          </w:p>
        </w:tc>
        <w:tc>
          <w:tcPr>
            <w:tcW w:type="dxa" w:w="3084"/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253"/>
          </w:tcPr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type="dxa" w:w="7513"/>
          </w:tcPr>
          <w:p w14:paraId="45000000">
            <w:pPr>
              <w:pStyle w:val="Style_4"/>
              <w:ind w:firstLine="709" w:lef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состоянию на 01 марта 2023 г. в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633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общеобразовательных организациях обучаются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8 979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детей-инвалидов и детей с особой образовательной потребностью, из них детей-инвалидов –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3 988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, детей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с особой образовательной потребностью –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4 991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ребенка.</w:t>
            </w:r>
          </w:p>
        </w:tc>
        <w:tc>
          <w:tcPr>
            <w:tcW w:type="dxa" w:w="3084"/>
          </w:tcPr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253"/>
          </w:tcPr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type="dxa" w:w="7513"/>
          </w:tcPr>
          <w:p w14:paraId="49000000">
            <w:pPr>
              <w:ind w:firstLine="567"/>
              <w:jc w:val="both"/>
              <w:rPr>
                <w:rFonts w:ascii="PT Astra Serif" w:hAnsi="PT Astra Serif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В Республике Саха (Яку</w:t>
            </w:r>
            <w:r>
              <w:rPr>
                <w:rFonts w:ascii="PT Astra Serif" w:hAnsi="PT Astra Serif"/>
                <w:b w:val="0"/>
                <w:i w:val="0"/>
                <w:sz w:val="24"/>
              </w:rPr>
              <w:t>тия)</w:t>
            </w:r>
            <w:r>
              <w:rPr>
                <w:rFonts w:ascii="PT Astra Serif" w:hAnsi="PT Astra Serif"/>
                <w:b w:val="0"/>
                <w:color w:val="000000"/>
                <w:sz w:val="22"/>
              </w:rPr>
              <w:t xml:space="preserve"> 569 дополнительных образовательных учреждений, из них в 58% реализована возможность получения дополнительного образования детьми с инвалидностью и с ограниченными возможностями здоровья</w:t>
            </w:r>
            <w:r>
              <w:rPr>
                <w:rFonts w:ascii="PT Astra Serif" w:hAnsi="PT Astra Serif"/>
                <w:b w:val="0"/>
                <w:i w:val="0"/>
                <w:sz w:val="24"/>
              </w:rPr>
              <w:t>.</w:t>
            </w:r>
          </w:p>
        </w:tc>
        <w:tc>
          <w:tcPr>
            <w:tcW w:type="dxa" w:w="3084"/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253"/>
          </w:tcPr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type="dxa" w:w="7513"/>
          </w:tcPr>
          <w:p w14:paraId="4D000000">
            <w:pPr>
              <w:ind w:firstLine="567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территории республики функционируют два учреждения отдыха и оздоровления круглогодичного действия: ГАУ ДО РС(Я) «Центр отдыха и оздоровления детей «Сосновый бор» и Республиканский образовательно-оздоровительный центр «Сир уустара», в котором созданы условия безбарьерной среды с оздоровительными процедурами.</w:t>
            </w:r>
          </w:p>
          <w:p w14:paraId="4E000000">
            <w:pPr>
              <w:ind w:firstLine="567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 рамках летней оздоровительной кампании ежегодно организуются профильные инклюзивные смены в 10 лагерях с охватом более 300 детей с особыми образовательными потребностями дневного и круглогодичного пребывания. </w:t>
            </w:r>
          </w:p>
          <w:p w14:paraId="4F000000">
            <w:pPr>
              <w:ind w:firstLine="567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Также совместно с Благотворительным фондом «Харысхал» проводятся семейные интегрированные лагеря «Ласточка» (Таттинский улус), «Солнышко» инклюзивный лагерь на базе лагеря «Лингва» (Намский улус). В лагерях дневного пребывания созданы все необходимые условия для эмоционально привлекательного досуга детей и подростков с особыми образовательными потребностями, восстановления их здоровья, удовлетворения потребностей в новизне впечатлений, творческой самореализации и общения со сверстниками в летний период.</w:t>
            </w:r>
          </w:p>
          <w:p w14:paraId="50000000">
            <w:pPr>
              <w:ind w:firstLine="567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Распространен опыт работы по проведению инклюзивных смен «Инклюзивные смены в детских лагерях: особенности, практические решения, опыт специалистов». Ведущими районами являются: Жиганский, Мегино-Кангаласский, Нюрбинский, Мирнинский и г. Якутск. </w:t>
            </w:r>
          </w:p>
          <w:p w14:paraId="51000000">
            <w:pPr>
              <w:ind w:firstLine="567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Подготовка кадров для работы с детьми особыми образовательными потребностями проводится на базе АОУ РС(Я) «Институт развития образования и повышения квалификации им. С.Н. Донского — II» и ФГАОУ ВО «Северо-Восточный федеральный университет им. М. К. Аммосова». </w:t>
            </w:r>
          </w:p>
          <w:p w14:paraId="52000000">
            <w:pPr>
              <w:ind w:firstLine="567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2024 году планируется работа инклюзивных смен на уровне прошлого года, кроме того планируется работа загородного лагеря «Колибри» на базе ГКОУ РС(Я) «Республиканская специальная (коррекционная) школа-интернат для обучающихся с тяжелыми нарушениями речи» с охватом 120 детей.</w:t>
            </w:r>
          </w:p>
        </w:tc>
        <w:tc>
          <w:tcPr>
            <w:tcW w:type="dxa" w:w="3084"/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</w:t>
            </w:r>
          </w:p>
        </w:tc>
        <w:tc>
          <w:tcPr>
            <w:tcW w:type="dxa" w:w="4253"/>
          </w:tcPr>
          <w:p w14:paraId="5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type="dxa" w:w="7513"/>
          </w:tcPr>
          <w:p w14:paraId="56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084"/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61"/>
            <w:gridSpan w:val="4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>
        <w:tc>
          <w:tcPr>
            <w:tcW w:type="dxa" w:w="711"/>
            <w:shd w:fill="auto" w:val="clea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53"/>
            <w:shd w:fill="auto" w:val="clear"/>
          </w:tcPr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type="dxa" w:w="7513"/>
            <w:shd w:fill="auto" w:val="clear"/>
          </w:tcPr>
          <w:p w14:paraId="5B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отрасли «Образование» функционируют 7 государственных информационных систем для всех типов и видов образовательных организаций республики, сопровождает работу Портала образовательных услуг Республики Саха (Якутия), объединяющего автоматизированные информационные системы «Е-Услуги. Образование», «Сетевой город. Образование», «Сетевой город. Образование» модуль ПОО, «Сетевой регион. Образование», «Учет контингента», АИС «Аттестация педагогических кадров», «Сетевой город. Образование» модуль «Навигатор дополнительного образования» с охватом 6 324 детей с инвалидностью и с ограниченными возможностями здоровья.</w:t>
            </w:r>
          </w:p>
          <w:p w14:paraId="5C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помощью Портала создана единая информационная образовательная среда Республики Саха (Якутия), позволяющая повысить качество образования, получить новые образовательные результаты, автоматизировать управление системой образования, оказывать государственные и муниципальные услуги в сфере образования в электронном виде, организовать электронное взаимодействие всех участников образовательных отношений.</w:t>
            </w:r>
          </w:p>
          <w:p w14:paraId="5D000000">
            <w:pPr>
              <w:spacing w:after="0" w:line="240" w:lineRule="auto"/>
              <w:ind/>
              <w:jc w:val="both"/>
            </w:pPr>
            <w:r>
              <w:rPr>
                <w:rFonts w:ascii="XO Thames" w:hAnsi="XO Thames"/>
                <w:sz w:val="24"/>
              </w:rPr>
              <w:t>Доступ к сервисам Портала образовательных услуг возможен исключительно для граждан, прошедших регистрацию в федеральной государственной информационной системе “Единая система идентификации и аутентификации”,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Прием заявлений осуществляется с портала Госуслуги и Портала образовательных услуг РС(Я).</w:t>
            </w:r>
          </w:p>
        </w:tc>
        <w:tc>
          <w:tcPr>
            <w:tcW w:type="dxa" w:w="3084"/>
            <w:shd w:fill="auto" w:val="clear"/>
          </w:tcPr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</w:t>
            </w:r>
          </w:p>
        </w:tc>
      </w:tr>
      <w:tr>
        <w:tc>
          <w:tcPr>
            <w:tcW w:type="dxa" w:w="711"/>
            <w:shd w:fill="auto" w:val="clea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53"/>
            <w:shd w:fill="auto" w:val="clear"/>
          </w:tcPr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деятельности психолого-медико-педагогических комиссий (далее – ПМПК)</w:t>
            </w:r>
          </w:p>
        </w:tc>
        <w:tc>
          <w:tcPr>
            <w:tcW w:type="dxa" w:w="7513"/>
            <w:shd w:fill="auto" w:val="clear"/>
          </w:tcPr>
          <w:p w14:paraId="6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количество центральных ПМПК - 1 </w:t>
            </w:r>
          </w:p>
          <w:p w14:paraId="6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количество территориальных ПМПК - 20</w:t>
            </w:r>
          </w:p>
          <w:p w14:paraId="6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численность обследованных на ПМПК ВСЕГО - 8 463</w:t>
            </w:r>
          </w:p>
          <w:p w14:paraId="6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численность обследованных на центральных ПМПК - 1 179</w:t>
            </w:r>
          </w:p>
          <w:p w14:paraId="6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численность обследованных на территориальных ПМПК - 7 284</w:t>
            </w:r>
          </w:p>
          <w:p w14:paraId="6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среднее время ожидания обследования на ПМПК (время между записью на обследование и обследованием на ПМПК) - от 7 до 14 дней</w:t>
            </w:r>
          </w:p>
          <w:p w14:paraId="67000000">
            <w:pPr>
              <w:pStyle w:val="Style_4"/>
              <w:ind w:firstLine="0" w:lef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проведение мониторинга учета рекомендаций ПМПК по созданию необходимых условий для обучения и воспитания детей в образовательных организация. В настоящее время разрабатывается НПА.</w:t>
            </w:r>
          </w:p>
        </w:tc>
        <w:tc>
          <w:tcPr>
            <w:tcW w:type="dxa" w:w="3084"/>
            <w:shd w:fill="auto" w:val="clear"/>
          </w:tcPr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  <w:shd w:themeFill="background1" w:val="clea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</w:t>
            </w:r>
          </w:p>
        </w:tc>
        <w:tc>
          <w:tcPr>
            <w:tcW w:type="dxa" w:w="4253"/>
            <w:shd w:themeFill="background1" w:val="clear"/>
          </w:tcPr>
          <w:p w14:paraId="6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мероприятия, предусмотренные региональными комплексными </w:t>
            </w:r>
            <w:r>
              <w:rPr>
                <w:rFonts w:ascii="Times New Roman" w:hAnsi="Times New Roman"/>
                <w:sz w:val="24"/>
              </w:rPr>
              <w:t>планами</w:t>
            </w:r>
          </w:p>
        </w:tc>
        <w:tc>
          <w:tcPr>
            <w:tcW w:type="dxa" w:w="7513"/>
            <w:shd w:themeFill="background1" w:val="clear"/>
          </w:tcPr>
          <w:p w14:paraId="6B000000">
            <w:pPr>
              <w:pStyle w:val="Style_4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настоящее время в системе ПМПК в Республике Саха (Якутия) функционирует 21 ПМПК: Центральная ПМПК, являющаяся вышестоящим органом, зона охвата которой представлена 17 муниципальными образованиями: 13 арктическими, 3 труднодоступными улусами, МО «Жатай», а также 20 территориальных ПМПК (г. Якутске (два состава) г. Алдане, г. Ленске, г. Олекминске, г. Нерюнгри, г. Мирном, Усть-Алданском, г. Вилюйске, Чурапчинском, Хангаласском, Мегино-Кангаласском, Амгинском, Нюрбинском, Намском, Сунтарском, Верхневилюйском, Горном, Таттинском, Кобяйском улусах). </w:t>
            </w:r>
          </w:p>
          <w:p w14:paraId="6C000000">
            <w:pPr>
              <w:pStyle w:val="Style_4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2023 г. психолого-медико-педагогическими комиссиями РС(Я)  обследовано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7987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детей, из них статус «обучающийся с ограниченными возможностями здоровья» (ОВЗ) получили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7409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детей. </w:t>
            </w:r>
          </w:p>
          <w:p w14:paraId="6D000000">
            <w:pPr>
              <w:pStyle w:val="Style_4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психолого-педагогических консилиумов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системе образования Республики Саха (Якутия) составляет -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936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6E000000">
            <w:pPr>
              <w:pStyle w:val="Style_4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базе дошкольных образовательных организаций 373, на базе общеобразовательных организаций 561, на базе центров психолого-педагогической, медицинской и социальной помощи.</w:t>
            </w:r>
          </w:p>
          <w:p w14:paraId="6F000000">
            <w:pPr>
              <w:pStyle w:val="Style_4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Численность детей, получивших рекомендации психолог-педагогических консилиумов:</w:t>
            </w:r>
          </w:p>
          <w:p w14:paraId="70000000">
            <w:pPr>
              <w:numPr>
                <w:ilvl w:val="0"/>
                <w:numId w:val="2"/>
              </w:numPr>
              <w:spacing w:after="0" w:before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организации психолого-педагогического сопровождения обучающегося с ОВЗ (п. 5.1 Положения о ППк) 8279 детей и подростков, из них: ДОУ – 3 088 воспитанников, общеобразовательные организации – 5 190 учащихся.  </w:t>
            </w:r>
          </w:p>
          <w:p w14:paraId="71000000">
            <w:pPr>
              <w:numPr>
                <w:ilvl w:val="0"/>
                <w:numId w:val="2"/>
              </w:numPr>
              <w:spacing w:after="0" w:before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организации психолого-педагогического сопровождения обучающегося на основании медицинского заключения (п. 5.2 Положения о ППк) 2874 детей и подростков. Из них: ДОУ – 851 воспитанников, общеобразовательные организации – 2023 учащихся.  </w:t>
            </w:r>
          </w:p>
          <w:p w14:paraId="72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организации психолого-педагогического сопровождения обучаюшегося, испытывающего трудности в освоении основных общеобразовательных программ, развитии и социальной адаптации (п. 5.3 Положения о ППк) 6458 детей и подростков. Из них: ДОУ – 2242 воспитанников, общеобразовательные организации – 4216 учащихся. 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иным рекомендациям 1480 детей и подростков. Из них: ДОУ – 131 воспитанников, общеобразовательные организации – 1349 учащихся. </w:t>
            </w:r>
          </w:p>
        </w:tc>
        <w:tc>
          <w:tcPr>
            <w:tcW w:type="dxa" w:w="3084"/>
            <w:shd w:themeFill="background1" w:val="clear"/>
          </w:tcPr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61"/>
            <w:gridSpan w:val="4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>
        <w:tc>
          <w:tcPr>
            <w:tcW w:type="dxa" w:w="711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253"/>
          </w:tcPr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type="dxa" w:w="7513"/>
          </w:tcPr>
          <w:p w14:paraId="77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отрасли «Образование» функционируют 7 государственных информационных систем для всех типов и видов образовательных организаций республики, сопровождает работу Портала образовательных услуг Республики Саха (Якутия), объединяющего автоматизированные информационные системы «Е-Услуги. Образование», «Сетевой город. Образование», «Сетевой город. Образование» модуль ПОО, «Сетевой регион. Образование», «Учет контингента», АИС «Аттестация педагогических кадров», «Сетевой город. Образование» модуль «Навигатор дополнительного образования».</w:t>
            </w:r>
          </w:p>
          <w:p w14:paraId="78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помощью Портала создана единая информационная образовательная среда Республики Саха (Якутия), позволяющая повысить качество образования, получить новые образовательные результаты, автоматизировать управление системой образования, оказывать государственные и муниципальные услуги в сфере образования в электронном виде, организовать электронное взаимодействие всех участников образовательных отношений.</w:t>
            </w:r>
          </w:p>
          <w:p w14:paraId="79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Доступ к сервисам Портала образовательных услуг возможен исключительно для граждан, прошедших регистрацию в федеральной государственной информационной системе “Единая система идентификации и аутентификации”,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Прием заявлений осуществляется с портала Госуслуги и Портала образовательных услуг РС(Я).</w:t>
            </w:r>
          </w:p>
        </w:tc>
        <w:tc>
          <w:tcPr>
            <w:tcW w:type="dxa" w:w="3084"/>
          </w:tcPr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  <w:shd w:fill="auto" w:val="clear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53"/>
            <w:shd w:fill="auto" w:val="clear"/>
          </w:tcPr>
          <w:p w14:paraId="7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type="dxa" w:w="7513"/>
            <w:shd w:fill="auto" w:val="clear"/>
          </w:tcPr>
          <w:p w14:paraId="7D000000">
            <w:pPr>
              <w:ind w:firstLine="567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октябре 2023 г. Аргунова Варвара Олеговна, учитель-дефектолог ГКОУ РС (Я) «Республиканская специальная (корпрекционная) школа-интернат для неслышащих обучающихся, является финалистом Всероссийского конкурса классных руководителей-2023 г. А также в 2023 г. вошла в 100 лучших учителей Республики Саха (Якутия).</w:t>
            </w:r>
          </w:p>
          <w:p w14:paraId="7E000000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b w:val="0"/>
                <w:i w:val="0"/>
                <w:caps w:val="0"/>
                <w:color w:val="0C0C0C"/>
                <w:spacing w:val="0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2023 г. делегация от Республики Саха (Якутия) под руководством дирек</w:t>
            </w:r>
            <w:r>
              <w:rPr>
                <w:rFonts w:ascii="PT Astra Serif" w:hAnsi="PT Astra Serif"/>
                <w:i w:val="1"/>
                <w:sz w:val="24"/>
              </w:rPr>
              <w:t xml:space="preserve">тора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C0C0C"/>
                <w:spacing w:val="0"/>
                <w:sz w:val="24"/>
              </w:rPr>
              <w:t>ГБУ ДО РС(Я) "Республиканский методический центр психолого-педагогического сопровождения" (Чичигинаров К.К.)</w:t>
            </w:r>
            <w:r>
              <w:rPr>
                <w:rFonts w:ascii="PT Astra Serif" w:hAnsi="PT Astra Serif"/>
                <w:i w:val="1"/>
                <w:sz w:val="24"/>
              </w:rPr>
              <w:t xml:space="preserve"> приняла участие во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Всероссийском съезде дефектологов</w:t>
            </w:r>
            <w:r>
              <w:rPr>
                <w:rFonts w:ascii="PT Astra Serif" w:hAnsi="PT Astra Serif"/>
                <w:b w:val="0"/>
                <w:i w:val="0"/>
                <w:caps w:val="0"/>
                <w:color w:val="0C0C0C"/>
                <w:spacing w:val="0"/>
                <w:sz w:val="24"/>
              </w:rPr>
              <w:t>.</w:t>
            </w:r>
          </w:p>
        </w:tc>
        <w:tc>
          <w:tcPr>
            <w:tcW w:type="dxa" w:w="3084"/>
            <w:shd w:fill="auto" w:val="clear"/>
          </w:tcPr>
          <w:p w14:paraId="7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</w:t>
            </w:r>
          </w:p>
        </w:tc>
        <w:tc>
          <w:tcPr>
            <w:tcW w:type="dxa" w:w="4253"/>
          </w:tcPr>
          <w:p w14:paraId="8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type="dxa" w:w="7513"/>
          </w:tcPr>
          <w:p w14:paraId="82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084"/>
          </w:tcPr>
          <w:p w14:paraId="8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61"/>
            <w:gridSpan w:val="4"/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>
        <w:tc>
          <w:tcPr>
            <w:tcW w:type="dxa" w:w="711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53"/>
          </w:tcPr>
          <w:p w14:paraId="8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type="dxa" w:w="7513"/>
          </w:tcPr>
          <w:p w14:paraId="87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Информация о сформированном региональном кадровом реестре педагогов-дефектологов (тифлопедагогов, сурдопедагогов, олигофренопедагогов), учителей-логопедов, специальных психологов в системе образования (ранняя помощь, дошкольное, школьное и профессиональное образование), а также в системе социальной защиты населения (реабилитационные организации и детские дома-интернаты) – реквизиты, ссылка на размещенный в сети «Интернет» реестр. </w:t>
            </w:r>
          </w:p>
          <w:p w14:paraId="88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Информация об обеспечении государственных гарантий получения образования и психолого-педагогического сопровождения образования обучающимися с инвалидностью, с ОВЗ с учетом нормативов приказов Минпросвещения России от 31.07.2020 г. № 373; от 22.03.2021 г. № 115</w:t>
            </w:r>
          </w:p>
        </w:tc>
        <w:tc>
          <w:tcPr>
            <w:tcW w:type="dxa" w:w="3084"/>
          </w:tcPr>
          <w:p w14:paraId="8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253"/>
          </w:tcPr>
          <w:p w14:paraId="8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type="dxa" w:w="7513"/>
          </w:tcPr>
          <w:p w14:paraId="8C000000">
            <w:pPr>
              <w:spacing w:after="0" w:line="240" w:lineRule="auto"/>
              <w:ind w:firstLine="709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 </w:t>
            </w:r>
            <w:r>
              <w:rPr>
                <w:rFonts w:ascii="PT Astra Serif" w:hAnsi="PT Astra Serif"/>
                <w:sz w:val="24"/>
              </w:rPr>
              <w:t>2023</w:t>
            </w:r>
            <w:r>
              <w:rPr>
                <w:rFonts w:ascii="PT Astra Serif" w:hAnsi="PT Astra Serif"/>
                <w:sz w:val="24"/>
              </w:rPr>
              <w:t xml:space="preserve"> год </w:t>
            </w:r>
            <w:r>
              <w:rPr>
                <w:rFonts w:ascii="PT Astra Serif" w:hAnsi="PT Astra Serif"/>
                <w:sz w:val="24"/>
              </w:rPr>
              <w:t xml:space="preserve">государственная услуга </w:t>
            </w:r>
            <w:r>
              <w:rPr>
                <w:rFonts w:ascii="PT Astra Serif" w:hAnsi="PT Astra Serif"/>
                <w:sz w:val="24"/>
              </w:rPr>
              <w:t xml:space="preserve">по профессиональной ориентации </w:t>
            </w:r>
            <w:r>
              <w:rPr>
                <w:rFonts w:ascii="PT Astra Serif" w:hAnsi="PT Astra Serif"/>
                <w:sz w:val="24"/>
              </w:rPr>
              <w:t xml:space="preserve">предоставлена </w:t>
            </w:r>
            <w:r>
              <w:rPr>
                <w:rFonts w:ascii="PT Astra Serif" w:hAnsi="PT Astra Serif"/>
                <w:sz w:val="24"/>
              </w:rPr>
              <w:t>431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инвалидам молодого возраста и лицами с ограниченными возможностями здоровья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8D000000">
            <w:pPr>
              <w:spacing w:after="0" w:line="240" w:lineRule="auto"/>
              <w:ind w:firstLine="709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практике работы службы занятости населения применяются</w:t>
            </w:r>
            <w:r>
              <w:rPr>
                <w:rFonts w:ascii="PT Astra Serif" w:hAnsi="PT Astra Serif"/>
                <w:sz w:val="24"/>
              </w:rPr>
              <w:t xml:space="preserve"> различные</w:t>
            </w:r>
            <w:r>
              <w:rPr>
                <w:rFonts w:ascii="PT Astra Serif" w:hAnsi="PT Astra Serif"/>
                <w:sz w:val="24"/>
              </w:rPr>
              <w:t xml:space="preserve"> формы работы с инвалидами – это индивидуальные консультации и </w:t>
            </w:r>
            <w:r>
              <w:rPr>
                <w:rFonts w:ascii="PT Astra Serif" w:hAnsi="PT Astra Serif"/>
                <w:sz w:val="24"/>
              </w:rPr>
              <w:t>профориентационные</w:t>
            </w:r>
            <w:r>
              <w:rPr>
                <w:rFonts w:ascii="PT Astra Serif" w:hAnsi="PT Astra Serif"/>
                <w:sz w:val="24"/>
              </w:rPr>
              <w:t xml:space="preserve"> программы. Центрами занятости населения республики разработаны </w:t>
            </w:r>
            <w:r>
              <w:rPr>
                <w:rFonts w:ascii="PT Astra Serif" w:hAnsi="PT Astra Serif"/>
                <w:sz w:val="24"/>
              </w:rPr>
              <w:t>профориентационные</w:t>
            </w:r>
            <w:r>
              <w:rPr>
                <w:rFonts w:ascii="PT Astra Serif" w:hAnsi="PT Astra Serif"/>
                <w:sz w:val="24"/>
              </w:rPr>
              <w:t xml:space="preserve"> программы для инвалидов - «Мой профессиональный выбор», «Выбор профессии»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«Мотивы выбора профессии» </w:t>
            </w:r>
            <w:r>
              <w:rPr>
                <w:rFonts w:ascii="PT Astra Serif" w:hAnsi="PT Astra Serif"/>
                <w:sz w:val="24"/>
              </w:rPr>
              <w:t>и др.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8E000000">
            <w:pPr>
              <w:spacing w:after="0" w:line="240" w:lineRule="auto"/>
              <w:ind w:firstLine="709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 примеру, Амгинским Центром занятости населения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C0C0C"/>
                <w:spacing w:val="0"/>
                <w:sz w:val="24"/>
              </w:rPr>
              <w:t>реализуется проект «Равные среди равных»</w:t>
            </w:r>
            <w:r>
              <w:rPr>
                <w:rFonts w:ascii="PT Astra Serif" w:hAnsi="PT Astra Serif"/>
                <w:sz w:val="24"/>
              </w:rPr>
              <w:t xml:space="preserve"> для учащихся 7-9 классов коррекционной школы 8 вида.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C0C0C"/>
                <w:spacing w:val="0"/>
                <w:sz w:val="24"/>
              </w:rPr>
              <w:t>Проект вошел в 10 лучших проектов по Республике Саха (Якутия) форума «Сильные идеи нового времени» 2023 года.</w:t>
            </w:r>
            <w:r>
              <w:rPr>
                <w:rFonts w:ascii="PT Astra Serif" w:hAnsi="PT Astra Serif"/>
                <w:b w:val="0"/>
                <w:i w:val="0"/>
                <w:caps w:val="0"/>
                <w:color w:val="0C0C0C"/>
                <w:spacing w:val="0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В рамках программы предусмотрена: встречи с представителями различных профессий, экскурсии на предприятия, организация общественно-полезного труда школьников, как проба сил для выбора будущей профессии, психодиагностические процедуры, ролевые игры, экскурсии в профессиональные учебные заведения, тестирование, подготовка к экзаменам. В</w:t>
            </w:r>
            <w:r>
              <w:rPr>
                <w:rFonts w:ascii="PT Astra Serif" w:hAnsi="PT Astra Serif"/>
                <w:sz w:val="24"/>
              </w:rPr>
              <w:t xml:space="preserve"> декабре 2023 года проект был отмечен на ежегодном итоговом совещании в рамках встречи министра труда и социальной защиты Российской Федерации А.О. Котякова с руководителями региональных органов службы занятости и удостоен поощрительного приза</w:t>
            </w:r>
          </w:p>
          <w:p w14:paraId="8F000000">
            <w:pPr>
              <w:spacing w:after="0" w:line="240" w:lineRule="auto"/>
              <w:ind w:firstLine="709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Ежегодно органами службы занятости проводятся различные профориентационные мероприятия для граждан с ограниченными возможностями: </w:t>
            </w:r>
          </w:p>
          <w:p w14:paraId="90000000">
            <w:pPr>
              <w:spacing w:after="0" w:line="240" w:lineRule="auto"/>
              <w:ind w:firstLine="709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в рамках соглашения о сотрудничестве между Госкомитетом занятости РС (Я) и ГБПОУ РС (Я) «Республиканский техникум-интернат профессиональной и медико-социальной реабилитации инвалидов» проводится «Неделя профессиональной направленности» для студентов техникума-интерната. Целью таких мероприятий является формирование положительного отношения к профессиям, повышение престижа рабочих профессий, мотивация к обучению и дальнейшему трудоустройству по выбранной профессии, а также информирование выпускников о деятельности, услугах Центров занятости населения; </w:t>
            </w:r>
          </w:p>
          <w:p w14:paraId="91000000">
            <w:pPr>
              <w:spacing w:after="0" w:line="240" w:lineRule="auto"/>
              <w:ind w:firstLine="709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в рамках отборочных этапов финала Национального чемпионата по профессиональному мастерству среди инвалидов и лиц с ограниченными возможностями здоровья «Абилимпикс» профконсультантами Центров занятости населения проводятся практикумы «Технология поиска работы», «Осознай свой выбор», «Резюме-визитная карточка соискателя» для студентов и школьников с ограниченными возможностями здоровья; </w:t>
            </w:r>
          </w:p>
          <w:p w14:paraId="92000000">
            <w:pPr>
              <w:spacing w:after="0" w:line="240" w:lineRule="auto"/>
              <w:ind w:firstLine="709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в рамках Международного дня инвалидов проводятся различные профориентационные мероприятия для граждан с ограниченными возможностями; </w:t>
            </w:r>
          </w:p>
          <w:p w14:paraId="93000000">
            <w:pPr>
              <w:ind w:firstLine="567" w:left="0"/>
              <w:jc w:val="both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выездная работа в общеобразовательных, специальных коррекционных школах, детских домах, профессиональных образовательных организациях и образовательных организациях высшего образования.</w:t>
            </w:r>
          </w:p>
        </w:tc>
        <w:tc>
          <w:tcPr>
            <w:tcW w:type="dxa" w:w="3084"/>
          </w:tcPr>
          <w:p w14:paraId="9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  <w:shd w:fill="auto" w:val="clea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</w:t>
            </w:r>
          </w:p>
        </w:tc>
        <w:tc>
          <w:tcPr>
            <w:tcW w:type="dxa" w:w="4253"/>
            <w:shd w:fill="auto" w:val="clear"/>
          </w:tcPr>
          <w:p w14:paraId="9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type="dxa" w:w="7513"/>
            <w:shd w:fill="auto" w:val="clear"/>
          </w:tcPr>
          <w:p w14:paraId="97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084"/>
            <w:shd w:fill="auto" w:val="clear"/>
          </w:tcPr>
          <w:p w14:paraId="9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61"/>
            <w:gridSpan w:val="4"/>
          </w:tcPr>
          <w:p w14:paraId="9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VIII. Повышение качества образования обучающихся с инвалидностью, с ОВЗ</w:t>
            </w:r>
          </w:p>
        </w:tc>
      </w:tr>
      <w:tr>
        <w:tc>
          <w:tcPr>
            <w:tcW w:type="dxa" w:w="711"/>
            <w:shd w:fill="auto" w:val="clear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253"/>
            <w:shd w:fill="auto" w:val="clear"/>
          </w:tcPr>
          <w:p w14:paraId="9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type="dxa" w:w="7513"/>
            <w:shd w:fill="auto" w:val="clear"/>
          </w:tcPr>
          <w:p w14:paraId="9C000000">
            <w:pPr>
              <w:ind w:firstLine="567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В Республике Саха (Якутия) численность обучающихся 8 классов с инвалидностью и с ОВЗ составляет – 1152 ребенка.</w:t>
            </w:r>
          </w:p>
          <w:p w14:paraId="9D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i w:val="0"/>
                <w:sz w:val="24"/>
              </w:rPr>
              <w:t>Общественный совет при Минобрнауки РС (Я) по независимой оценке качества работы организа</w:t>
            </w:r>
            <w:r>
              <w:rPr>
                <w:rFonts w:ascii="XO Thames" w:hAnsi="XO Thames"/>
                <w:sz w:val="24"/>
              </w:rPr>
              <w:t>ций – оказывает социальные услуги в сфере образования, устанавливает критерии оценки качества образовательной деятельности организаций (дополнительно к установленным Министерством образования и науки Республики Саха (Якутия)), определяет перечни организаций, в отношении которых проводится независимая оценка, осуществляет независимую оценку качества оказания услуг организациями, в том числе и для детей с инвалидностью и с ограниченными возможностями здоровья.</w:t>
            </w:r>
          </w:p>
        </w:tc>
        <w:tc>
          <w:tcPr>
            <w:tcW w:type="dxa" w:w="3084"/>
            <w:shd w:fill="auto" w:val="clear"/>
          </w:tcPr>
          <w:p w14:paraId="9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  <w:shd w:fill="auto" w:val="clear"/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53"/>
            <w:shd w:fill="auto" w:val="clear"/>
          </w:tcPr>
          <w:p w14:paraId="A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type="dxa" w:w="7513"/>
            <w:shd w:fill="auto" w:val="clear"/>
          </w:tcPr>
          <w:p w14:paraId="A100000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Численность обучающихся 8 классов с инвалидностью и с ОВЗ  (с нарушениями интеллекта) составляет – 223 ребенка.</w:t>
            </w:r>
          </w:p>
          <w:p w14:paraId="A200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084"/>
            <w:shd w:fill="auto" w:val="clear"/>
          </w:tcPr>
          <w:p w14:paraId="A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</w:t>
            </w:r>
          </w:p>
        </w:tc>
        <w:tc>
          <w:tcPr>
            <w:tcW w:type="dxa" w:w="4253"/>
          </w:tcPr>
          <w:p w14:paraId="A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type="dxa" w:w="7513"/>
          </w:tcPr>
          <w:p w14:paraId="A6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Национальные исследования качества образования (далее – НИКО, исследование) в части оценки воспитательного потенциала образовательной организации в 8 и 10 классах проведены в рамках реализации работ по проекту «Организация и проведение мониторинга качества подготовки обучающихся общеобразовательных организаций».</w:t>
            </w:r>
          </w:p>
          <w:p w14:paraId="A7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Целью данного исследования является выявление воспитательного потенциала школ Российской Федерации и определения актуальных проблем для их решения в рамках федеральных, региональных, муниципальных и школьных программ воспитательной работы с обучающимися школ.</w:t>
            </w:r>
          </w:p>
          <w:p w14:paraId="A8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Этапы проведения процедур исследования:</w:t>
            </w:r>
          </w:p>
          <w:p w14:paraId="A9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–</w:t>
            </w:r>
            <w:r>
              <w:rPr>
                <w:rFonts w:ascii="XO Thames" w:hAnsi="XO Thames"/>
                <w:sz w:val="24"/>
              </w:rPr>
              <w:tab/>
            </w:r>
            <w:r>
              <w:rPr>
                <w:rFonts w:ascii="XO Thames" w:hAnsi="XO Thames"/>
                <w:sz w:val="24"/>
              </w:rPr>
              <w:t>анкетирование обучающихся 8 классов – 17 октября 2023;</w:t>
            </w:r>
          </w:p>
          <w:p w14:paraId="AA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–</w:t>
            </w:r>
            <w:r>
              <w:rPr>
                <w:rFonts w:ascii="XO Thames" w:hAnsi="XO Thames"/>
                <w:sz w:val="24"/>
              </w:rPr>
              <w:tab/>
            </w:r>
            <w:r>
              <w:rPr>
                <w:rFonts w:ascii="XO Thames" w:hAnsi="XO Thames"/>
                <w:sz w:val="24"/>
              </w:rPr>
              <w:t>анкетирование обучающихся 10 классов – 19 октября 2023;</w:t>
            </w:r>
          </w:p>
          <w:p w14:paraId="AB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–</w:t>
            </w:r>
            <w:r>
              <w:rPr>
                <w:rFonts w:ascii="XO Thames" w:hAnsi="XO Thames"/>
                <w:sz w:val="24"/>
              </w:rPr>
              <w:tab/>
            </w:r>
            <w:r>
              <w:rPr>
                <w:rFonts w:ascii="XO Thames" w:hAnsi="XO Thames"/>
                <w:sz w:val="24"/>
              </w:rPr>
              <w:t>анкетирование учителей и представителей администрации, классных руководителей классов, участвующих в исследовании, родителей (законных представителей) – с 9 по 20 октября 2023 г.</w:t>
            </w:r>
          </w:p>
          <w:p w14:paraId="AC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Технология проведения исследования основана на компьютерном анкетировании с использованием электронных форм с интерактивными элементами для ввода ответов.</w:t>
            </w:r>
          </w:p>
          <w:p w14:paraId="AD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НИКО из республики приняли участие 5 школ (федеральная выборка): Убоянская СОШ Нюрбинского района, Экспериментальная школа-интернат “Арктика”, СОШ №22 пос. Беркакит, СОШ №14 пос. Серебряный Бор, СОШ №23 пос. Золотинка Нерюнгринского района.</w:t>
            </w:r>
          </w:p>
          <w:p w14:paraId="AE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 в исследовании приняли участие 481 чел., из них:</w:t>
            </w:r>
          </w:p>
          <w:p w14:paraId="AF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– обучающиеся 8 классов – 101 чел.;</w:t>
            </w:r>
          </w:p>
          <w:p w14:paraId="B0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– обучающиеся 10 классов – 82 чел.;</w:t>
            </w:r>
          </w:p>
          <w:p w14:paraId="B1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– классные руководители классов, участвующих в исследовании – 15 чел.;</w:t>
            </w:r>
          </w:p>
          <w:p w14:paraId="B2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– учителя-предметники, преподающие в 8 и 10 классах – 84 чел.;</w:t>
            </w:r>
          </w:p>
          <w:p w14:paraId="B3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– родители (законные представители) – 194 чел.;</w:t>
            </w:r>
          </w:p>
          <w:p w14:paraId="B4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– представители администрации школ – 5 чел.</w:t>
            </w:r>
          </w:p>
          <w:p w14:paraId="B5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Также в рамках исследования школы заполнили чек-лист (самообследование) по 6 трекам (показателям):</w:t>
            </w:r>
          </w:p>
          <w:p w14:paraId="B6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>
              <w:rPr>
                <w:rFonts w:ascii="XO Thames" w:hAnsi="XO Thames"/>
                <w:sz w:val="24"/>
              </w:rPr>
              <w:tab/>
            </w:r>
            <w:r>
              <w:rPr>
                <w:rFonts w:ascii="XO Thames" w:hAnsi="XO Thames"/>
                <w:sz w:val="24"/>
              </w:rPr>
              <w:t>Школьный климат и безопасная образовательная среда;</w:t>
            </w:r>
          </w:p>
          <w:p w14:paraId="B7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  <w:r>
              <w:rPr>
                <w:rFonts w:ascii="XO Thames" w:hAnsi="XO Thames"/>
                <w:sz w:val="24"/>
              </w:rPr>
              <w:tab/>
            </w:r>
            <w:r>
              <w:rPr>
                <w:rFonts w:ascii="XO Thames" w:hAnsi="XO Thames"/>
                <w:sz w:val="24"/>
              </w:rPr>
              <w:t>Формирование системы воспитательной работы в ОО;</w:t>
            </w:r>
          </w:p>
          <w:p w14:paraId="B8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  <w:r>
              <w:rPr>
                <w:rFonts w:ascii="XO Thames" w:hAnsi="XO Thames"/>
                <w:sz w:val="24"/>
              </w:rPr>
              <w:tab/>
            </w:r>
            <w:r>
              <w:rPr>
                <w:rFonts w:ascii="XO Thames" w:hAnsi="XO Thames"/>
                <w:sz w:val="24"/>
              </w:rPr>
              <w:t>Воспитание уроком (урочная деятельность);</w:t>
            </w:r>
          </w:p>
          <w:p w14:paraId="B9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  <w:r>
              <w:rPr>
                <w:rFonts w:ascii="XO Thames" w:hAnsi="XO Thames"/>
                <w:sz w:val="24"/>
              </w:rPr>
              <w:tab/>
            </w:r>
            <w:r>
              <w:rPr>
                <w:rFonts w:ascii="XO Thames" w:hAnsi="XO Thames"/>
                <w:sz w:val="24"/>
              </w:rPr>
              <w:t>Классное руководство;</w:t>
            </w:r>
          </w:p>
          <w:p w14:paraId="BA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  <w:r>
              <w:rPr>
                <w:rFonts w:ascii="XO Thames" w:hAnsi="XO Thames"/>
                <w:sz w:val="24"/>
              </w:rPr>
              <w:tab/>
            </w:r>
            <w:r>
              <w:rPr>
                <w:rFonts w:ascii="XO Thames" w:hAnsi="XO Thames"/>
                <w:sz w:val="24"/>
              </w:rPr>
              <w:t>Внеурочная деятельность;</w:t>
            </w:r>
          </w:p>
          <w:p w14:paraId="BB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  <w:r>
              <w:rPr>
                <w:rFonts w:ascii="XO Thames" w:hAnsi="XO Thames"/>
                <w:sz w:val="24"/>
              </w:rPr>
              <w:tab/>
            </w:r>
            <w:r>
              <w:rPr>
                <w:rFonts w:ascii="XO Thames" w:hAnsi="XO Thames"/>
                <w:sz w:val="24"/>
              </w:rPr>
              <w:t>Службы сопровождения.</w:t>
            </w:r>
          </w:p>
        </w:tc>
        <w:tc>
          <w:tcPr>
            <w:tcW w:type="dxa" w:w="3084"/>
          </w:tcPr>
          <w:p w14:paraId="B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61"/>
            <w:gridSpan w:val="4"/>
          </w:tcPr>
          <w:p w14:paraId="B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>
        <w:tc>
          <w:tcPr>
            <w:tcW w:type="dxa" w:w="711"/>
            <w:shd w:fill="auto" w:val="clear"/>
          </w:tcPr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253"/>
            <w:shd w:fill="auto" w:val="clear"/>
          </w:tcPr>
          <w:p w14:paraId="BF000000">
            <w:pPr>
              <w:tabs>
                <w:tab w:leader="none" w:pos="101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type="dxa" w:w="7513"/>
            <w:shd w:fill="auto" w:val="clear"/>
          </w:tcPr>
          <w:p w14:paraId="C0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отрасли «Образование» функционируют 7 государственных информационных систем для всех типов и видов образовательных организаций республики, сопровождает работу Портала образовательных услуг Республики Саха (Якутия), объединяющего автоматизированные информационные системы «Е-Услуги. Образование», «Сетевой город. Образование», «Сетевой город. Образование» модуль ПОО, «Сетевой регион. Образование», «Учет контингента», АИС «Аттестация педагогических кадров», «Сетевой город. Образование» модуль «Навигатор дополнительного образования» с охватом 6 324 детей с инвалидностью и с ограниченными возможностями здоровья.</w:t>
            </w:r>
          </w:p>
          <w:p w14:paraId="C1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помощью Портала создана единая информационная образовательная среда Республики Саха (Якутия), позволяющая повысить качество образования, получить новые образовательные результаты, автоматизировать управление системой образования, оказывать государственные и муниципальные услуги в сфере образования в электронном виде, организовать электронное взаимодействие всех участников образовательных отношений.</w:t>
            </w:r>
          </w:p>
          <w:p w14:paraId="C2000000">
            <w:pPr>
              <w:spacing w:after="0" w:line="240" w:lineRule="auto"/>
              <w:ind/>
              <w:jc w:val="both"/>
            </w:pPr>
            <w:r>
              <w:rPr>
                <w:rFonts w:ascii="XO Thames" w:hAnsi="XO Thames"/>
                <w:sz w:val="24"/>
              </w:rPr>
              <w:t>Доступ к сервисам Портала образовательных услуг возможен исключительно для граждан, прошедших регистрацию в федеральной государственной информационной системе “Единая система идентификации и аутентификации”,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Прием заявлений осуществляется с портала Госуслуги и Портала образовательных услуг РС(Я).</w:t>
            </w:r>
          </w:p>
        </w:tc>
        <w:tc>
          <w:tcPr>
            <w:tcW w:type="dxa" w:w="3084"/>
            <w:shd w:fill="auto" w:val="clear"/>
          </w:tcPr>
          <w:p w14:paraId="C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1"/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</w:t>
            </w:r>
          </w:p>
        </w:tc>
        <w:tc>
          <w:tcPr>
            <w:tcW w:type="dxa" w:w="4253"/>
          </w:tcPr>
          <w:p w14:paraId="C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type="dxa" w:w="7513"/>
          </w:tcPr>
          <w:p w14:paraId="C6000000">
            <w:pPr>
              <w:spacing w:after="0" w:line="240" w:lineRule="auto"/>
              <w:ind w:firstLine="709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Согласно региональному перечню МСЗУ Республики Саха (Якутия) имеется 92 массовые социально значимые услуги. По линии Министерства образования и науки Республики Саха (Якутия) имеется 7 массовых социально значимых услуг муниипальных услуг gosuslugi.ru (далее – ЕПГУ), из них 7 услуг</w:t>
            </w:r>
            <w:r>
              <w:rPr>
                <w:rFonts w:ascii="XO Thames" w:hAnsi="XO Thames"/>
                <w:b w:val="1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уже выведены на ЕПГУ и интегрированы с региональной информационной системой, т.е. на портал gosuslugi.ru посредством Платформы государственных сервисов (далее – ПГС) и ВИС, в том числе на сегодняшний день все 36 органов управления в сфере образования муниципальных районов (городских округов) Республики Саха (Якутия) имеют доступ и подключены к ПГС, утвердили административные регламенты.</w:t>
            </w:r>
          </w:p>
          <w:p w14:paraId="C7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084"/>
          </w:tcPr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C9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3" w:type="first"/>
      <w:footerReference r:id="rId2" w:type="default"/>
      <w:pgSz w:h="11906" w:orient="landscape" w:w="16838"/>
      <w:pgMar w:bottom="1134" w:footer="567" w:gutter="0" w:header="567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Отчет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Отчет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annotation text"/>
    <w:basedOn w:val="Style_4"/>
    <w:link w:val="Style_10_ch"/>
    <w:pPr>
      <w:spacing w:line="240" w:lineRule="auto"/>
      <w:ind/>
    </w:pPr>
    <w:rPr>
      <w:sz w:val="20"/>
    </w:rPr>
  </w:style>
  <w:style w:styleId="Style_10_ch" w:type="character">
    <w:name w:val="annotation text"/>
    <w:basedOn w:val="Style_4_ch"/>
    <w:link w:val="Style_10"/>
    <w:rPr>
      <w:sz w:val="20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0" w:type="paragraph">
    <w:name w:val="annotation reference"/>
    <w:basedOn w:val="Style_21"/>
    <w:link w:val="Style_20_ch"/>
    <w:rPr>
      <w:sz w:val="16"/>
    </w:rPr>
  </w:style>
  <w:style w:styleId="Style_20_ch" w:type="character">
    <w:name w:val="annotation reference"/>
    <w:basedOn w:val="Style_21_ch"/>
    <w:link w:val="Style_20"/>
    <w:rPr>
      <w:sz w:val="16"/>
    </w:rPr>
  </w:style>
  <w:style w:styleId="Style_22" w:type="paragraph">
    <w:name w:val="annotation subject"/>
    <w:basedOn w:val="Style_10"/>
    <w:next w:val="Style_10"/>
    <w:link w:val="Style_22_ch"/>
    <w:rPr>
      <w:b w:val="1"/>
    </w:rPr>
  </w:style>
  <w:style w:styleId="Style_22_ch" w:type="character">
    <w:name w:val="annotation subject"/>
    <w:basedOn w:val="Style_10_ch"/>
    <w:link w:val="Style_22"/>
    <w:rPr>
      <w:b w:val="1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2024-03-28T09:21:28Z</dcterms:modified>
</cp:coreProperties>
</file>