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ind w:left="4248" w:right="0" w:firstLine="0"/>
        <w:jc w:val="left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Приложение               </w:t>
      </w:r>
      <w:r/>
    </w:p>
    <w:p>
      <w:pPr>
        <w:pStyle w:val="671"/>
        <w:ind w:left="11344" w:firstLine="0"/>
        <w:jc w:val="left"/>
        <w:shd w:val="clear" w:fill="FFFFFF" w:color="FFFFFF"/>
      </w:pPr>
      <w:r>
        <w:rPr>
          <w:sz w:val="26"/>
          <w:szCs w:val="26"/>
        </w:rPr>
        <w:t xml:space="preserve">к письму Министерства  образования                                                                                                                                                                                  и науки Республики Хакасия</w:t>
      </w:r>
      <w:r/>
    </w:p>
    <w:p>
      <w:pPr>
        <w:pStyle w:val="671"/>
        <w:ind w:left="11337" w:firstLine="7"/>
        <w:jc w:val="left"/>
        <w:shd w:val="clear" w:fill="FFFFFF" w:color="FFFFFF"/>
      </w:pPr>
      <w:r>
        <w:rPr>
          <w:sz w:val="26"/>
          <w:szCs w:val="26"/>
        </w:rPr>
        <w:t xml:space="preserve">от «____»____2024 г. №_____</w:t>
      </w:r>
      <w:r/>
    </w:p>
    <w:p>
      <w:pPr>
        <w:pStyle w:val="671"/>
        <w:jc w:val="left"/>
        <w:spacing w:lineRule="atLeast" w:line="24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71"/>
        <w:jc w:val="right"/>
        <w:spacing w:lineRule="atLeast" w:line="2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1"/>
        <w:jc w:val="left"/>
        <w:spacing w:lineRule="atLeast" w:line="240"/>
        <w:rPr>
          <w:b w:val="false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 w:val="false"/>
          <w:sz w:val="28"/>
          <w:szCs w:val="28"/>
        </w:rPr>
        <w:t xml:space="preserve">    ОТЧЕТ</w:t>
      </w:r>
      <w:r>
        <w:rPr>
          <w:b w:val="false"/>
        </w:rPr>
      </w:r>
      <w:r/>
    </w:p>
    <w:p>
      <w:pPr>
        <w:pStyle w:val="671"/>
        <w:jc w:val="left"/>
        <w:spacing w:lineRule="atLeast" w:line="240"/>
        <w:rPr>
          <w:b w:val="false"/>
          <w:sz w:val="28"/>
          <w:szCs w:val="28"/>
        </w:rPr>
      </w:pPr>
      <w:r>
        <w:rPr>
          <w:b w:val="false"/>
          <w:sz w:val="28"/>
          <w:szCs w:val="28"/>
          <w:highlight w:val="none"/>
        </w:rPr>
        <w:t xml:space="preserve">                                                                                      Республика Хакасия</w:t>
      </w:r>
      <w:r>
        <w:rPr>
          <w:b w:val="false"/>
          <w:sz w:val="28"/>
          <w:szCs w:val="28"/>
          <w:highlight w:val="none"/>
        </w:rPr>
      </w:r>
      <w:r/>
    </w:p>
    <w:p>
      <w:pPr>
        <w:pStyle w:val="671"/>
        <w:jc w:val="center"/>
        <w:spacing w:lineRule="atLeast" w:line="24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 реализации </w:t>
      </w:r>
      <w:r>
        <w:rPr>
          <w:b w:val="false"/>
        </w:rPr>
        <w:t xml:space="preserve">Межведомственного комплексного плана </w:t>
      </w:r>
      <w:r>
        <w:rPr>
          <w:b w:val="false"/>
          <w:sz w:val="28"/>
          <w:szCs w:val="28"/>
        </w:rPr>
        <w:t xml:space="preserve">мероприятий по развитию инклюзивного общего </w:t>
      </w:r>
      <w:r>
        <w:rPr>
          <w:b w:val="false"/>
        </w:rPr>
      </w:r>
      <w:r/>
    </w:p>
    <w:p>
      <w:pPr>
        <w:pStyle w:val="671"/>
        <w:jc w:val="center"/>
        <w:spacing w:lineRule="atLeast" w:line="24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и дополнительного образования, детского отдыха, </w:t>
      </w:r>
      <w:r>
        <w:rPr>
          <w:b w:val="false"/>
          <w:sz w:val="28"/>
          <w:szCs w:val="28"/>
        </w:rPr>
        <w:br/>
      </w:r>
      <w:r>
        <w:rPr>
          <w:b w:val="false"/>
          <w:sz w:val="28"/>
          <w:szCs w:val="28"/>
        </w:rPr>
        <w:t xml:space="preserve">созданию специальных условий для обучающихся с инвалидностью, с ограниченными </w:t>
      </w:r>
      <w:r>
        <w:rPr>
          <w:b w:val="false"/>
          <w:sz w:val="28"/>
          <w:szCs w:val="28"/>
        </w:rPr>
        <w:br/>
      </w:r>
      <w:r>
        <w:rPr>
          <w:b w:val="false"/>
          <w:sz w:val="28"/>
          <w:szCs w:val="28"/>
        </w:rPr>
        <w:t xml:space="preserve">возможностями здоровья на долгосрочный период (до 2030 года)</w:t>
      </w:r>
      <w:r>
        <w:rPr>
          <w:b w:val="false"/>
          <w:sz w:val="28"/>
          <w:szCs w:val="28"/>
        </w:rPr>
        <w:t xml:space="preserve"> в 2023 году</w:t>
      </w:r>
      <w:r>
        <w:rPr>
          <w:b w:val="false"/>
        </w:rPr>
      </w:r>
      <w:r/>
    </w:p>
    <w:p>
      <w:pPr>
        <w:pStyle w:val="671"/>
        <w:jc w:val="center"/>
        <w:spacing w:lineRule="atLeast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1"/>
        <w:spacing w:lineRule="atLeast" w:line="24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5843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1157"/>
        <w:gridCol w:w="1271"/>
        <w:gridCol w:w="2672"/>
        <w:gridCol w:w="5250"/>
        <w:gridCol w:w="2268"/>
      </w:tblGrid>
      <w:tr>
        <w:trPr>
          <w:trHeight w:val="960"/>
          <w:tblHeader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Мероприятие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gridSpan w:val="4"/>
            <w:tcW w:w="103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                                                                Информация об исполнении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      Примечание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465"/>
          <w:tblHeader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1</w:t>
            </w:r>
            <w:r>
              <w:rPr>
                <w:rFonts w:eastAsia="Calibri"/>
                <w:sz w:val="20"/>
                <w:szCs w:val="22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2</w:t>
            </w:r>
            <w:r>
              <w:rPr>
                <w:rFonts w:eastAsia="Calibri"/>
                <w:sz w:val="20"/>
                <w:szCs w:val="22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r>
              <w:t xml:space="preserve">                                                                                              3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eastAsia="Calibri"/>
                <w:sz w:val="20"/>
                <w:szCs w:val="22"/>
                <w:highlight w:val="yellow"/>
              </w:rPr>
            </w:pPr>
            <w:r>
              <w:rPr>
                <w:rFonts w:eastAsia="Calibri"/>
                <w:sz w:val="20"/>
                <w:szCs w:val="22"/>
                <w:highlight w:val="none"/>
              </w:rPr>
              <w:t xml:space="preserve">4</w:t>
            </w:r>
            <w:r>
              <w:rPr>
                <w:rFonts w:eastAsia="Calibri"/>
                <w:sz w:val="20"/>
                <w:szCs w:val="22"/>
                <w:highlight w:val="yellow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I</w:t>
            </w:r>
            <w:r>
              <w:rPr>
                <w:b/>
                <w:sz w:val="24"/>
              </w:rPr>
              <w:t xml:space="preserve">. Нормативное правовое регулирование и научно-методическая поддержка образования обучающихся с инвалидностью, с ОВЗ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sz w:val="24"/>
              </w:rPr>
            </w:pPr>
            <w:r>
              <w:rPr>
                <w:sz w:val="24"/>
              </w:rPr>
              <w:t xml:space="preserve"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pStyle w:val="671"/>
              <w:ind w:left="-108" w:right="-108"/>
              <w:jc w:val="both"/>
              <w:spacing w:lineRule="atLeast" w:line="240"/>
              <w:rPr>
                <w:rFonts w:ascii="Times New Roman" w:hAnsi="Times New Roman"/>
                <w:sz w:val="24"/>
                <w:szCs w:val="26"/>
                <w:highlight w:val="none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Министерством образования и науки РХ в 2023 г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оду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 реализовано 13 государственных программ Республики Хакасия, в рамках которых 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предусматр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ивалось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 финансирование региональной составляющей федеральных проектов: «Современная школа», «Успех каждого ребенка», «Цифровая образовательная среда» национального проекта «Образовани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е». Бюджетные ассигнования, предусмотренные законом о республиканском бюджете на реализацию государственных программ в рамках полномочий Министерства, составили 17 016 420,0 тыс. руб., в том числе средства федерального бюджета – 2 009 243,1 тыс. руб. (11,8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%</w:t>
            </w:r>
            <w:r>
              <w:rPr>
                <w:rFonts w:ascii="Times New Roman" w:hAnsi="Times New Roman"/>
                <w:sz w:val="24"/>
                <w:szCs w:val="26"/>
                <w:lang w:eastAsia="ar-SA"/>
              </w:rPr>
              <w:t xml:space="preserve">). Также были внесены изменения в государственную программу Республики Хакасия «Доступная среда», за счет которой финансировались мероприятия по повышению квалификации педагогов, работающих с детьми с ОВЗ.</w:t>
            </w:r>
            <w:r>
              <w:rPr>
                <w:sz w:val="24"/>
              </w:rPr>
            </w:r>
            <w:r/>
          </w:p>
          <w:p>
            <w:pPr>
              <w:pStyle w:val="671"/>
              <w:ind w:left="-108" w:right="-108"/>
              <w:jc w:val="both"/>
              <w:spacing w:lineRule="atLeast" w:line="240"/>
              <w:rPr>
                <w:rFonts w:ascii="Times New Roman" w:hAnsi="Times New Roman"/>
                <w:sz w:val="24"/>
                <w:szCs w:val="26"/>
                <w:highlight w:val="none"/>
              </w:rPr>
            </w:pPr>
            <w:r>
              <w:rPr>
                <w:rFonts w:ascii="Times New Roman" w:hAnsi="Times New Roman"/>
                <w:sz w:val="24"/>
                <w:szCs w:val="26"/>
                <w:highlight w:val="none"/>
                <w:lang w:eastAsia="ar-SA"/>
              </w:rPr>
              <w:t xml:space="preserve">Разработан приказ от 09.03.2023 № 100-239 «Об утверждении Порядка выплаты денежной компенсации за питание детей с ОВЗ, обучающихся в общеобразовательных организациях, подведомственных Минобрнауки Хакасии, обучение которых организовано на дому».</w:t>
            </w:r>
            <w:r>
              <w:rPr>
                <w:rFonts w:ascii="Times New Roman" w:hAnsi="Times New Roman"/>
                <w:sz w:val="24"/>
                <w:szCs w:val="26"/>
                <w:highlight w:val="none"/>
                <w:lang w:eastAsia="ar-SA"/>
              </w:rPr>
            </w:r>
            <w:r/>
          </w:p>
          <w:p>
            <w:pPr>
              <w:pStyle w:val="671"/>
              <w:ind w:left="-108" w:right="-108"/>
              <w:jc w:val="right"/>
              <w:spacing w:lineRule="atLeast" w:line="24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  <w:highlight w:val="none"/>
                <w:lang w:eastAsia="ar-SA"/>
              </w:rPr>
            </w:r>
            <w:r>
              <w:rPr>
                <w:rFonts w:ascii="Times New Roman" w:hAnsi="Times New Roman"/>
                <w:sz w:val="24"/>
                <w:szCs w:val="26"/>
                <w:highlight w:val="none"/>
                <w:lang w:eastAsia="ar-SA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9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Проведение научных исследований о современной популяции детей- обучающихся с инвалидностью, с ОВЗ, их семей, оказания им психолого-педагогической помощи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ind w:left="-108" w:right="-108"/>
              <w:jc w:val="both"/>
              <w:spacing w:lineRule="atLeast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  ФГБОУ ВПО «Хакасский государственный университет им Н.Ф. Катанова» выполнены научно-исследовательские раб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оты в рамках реализации грантовых проектов по темам: «Куклотерпия как средство социально-психологической реабилитации детей с ОВЗ», «Использование нейропсихологического подхода к коррекции трудностей обучения младших школьников с общим недоразвитием речи».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671"/>
              <w:ind w:left="-108" w:right="-108"/>
              <w:jc w:val="both"/>
              <w:spacing w:lineRule="atLeast" w:line="240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Проведена XI Международная научно-практическая конференция «Развитие социально-устойчив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ой инновационной среды непрерывного педагогического образования». В рамках работы секции «Современные образовательные технологии в коррекционной работе с детьми с ОВЗ в условияй социально-устойчивой инновационной среды» рассмотрены результаты научных иссле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дований по вопросам: использование приемов моторного планирования в работе учителя-логопеда с детьми с ОВЗ дошкольного возраста, нейроигры как средство развития познавательных процессов детей с ОВЗ, инновационные формы и методы работы с обучающимися с ОВЗ.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671"/>
              <w:ind w:left="-108" w:right="-108"/>
              <w:jc w:val="both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II. Внедрение новых организационно-управленческих решений в сфере образования обучающихся с инвалидностью, с ОВЗ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. Создание учебно-методического и дидактического обеспечения образования обучающихся с инвалидностью, с ОВЗ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Учебно-методическое обеспечение образования обучающихся с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инвалидностью, с ОВЗ</w:t>
            </w:r>
            <w:r>
              <w:rPr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Доля обучающихся с ОВЗ, обеспеченных специальными учебниками, составила100%.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Доля обучающихся с нарущениями зрения, обеспеченных специальными учебниками, составила 100%.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Денежные средства на приобретение специальных учебников для детей-инвалидов и детей с ОВЗ освоены в полном объеме.  В 2023 году году приобретено 3 154 экземпляра  на общую сумму 2 млн. 346 тыс. рублей для 11 коррекционных школ.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yellow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IV. Развитие инфраструктуры образования обучающихся с инвалидностью, с ОВЗ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Развитие сети дошкольных образовательных организаций для образования воспитанников с инвалидностью,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15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  Условия для беспрепятственного доступа детей-инвалидов созданы в 121 дошкольной образовательной организации, что составляет 70% 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yellow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Развитие сети общеобразовательных организаций, в которых обучаются обучающиеся с инвалидностью,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Условия для беспрепятственного доступа созданы в 142 образовательных организациях, что составляет 77%.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Развитие сети организаций дополнительного образования для образования обучающихся с инвалидностью,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 данным </w:t>
            </w:r>
            <w:r>
              <w:rPr>
                <w:rFonts w:ascii="Times New Roman" w:hAnsi="Times New Roman"/>
                <w:sz w:val="24"/>
              </w:rPr>
              <w:t xml:space="preserve">АИС «</w:t>
            </w:r>
            <w:r>
              <w:rPr>
                <w:rFonts w:ascii="Times New Roman" w:hAnsi="Times New Roman"/>
                <w:sz w:val="24"/>
              </w:rPr>
              <w:t xml:space="preserve">Навигатор</w:t>
            </w:r>
            <w:r>
              <w:rPr>
                <w:rFonts w:ascii="Times New Roman" w:hAnsi="Times New Roman"/>
                <w:sz w:val="24"/>
              </w:rPr>
              <w:t xml:space="preserve"> ДО РХ» по итогам 2023 года</w:t>
            </w:r>
            <w:r>
              <w:rPr>
                <w:rFonts w:ascii="Times New Roman" w:hAnsi="Times New Roman"/>
                <w:sz w:val="24"/>
              </w:rPr>
              <w:t xml:space="preserve"> в системе дополнительного образования Республики Хакасия функционир</w:t>
            </w:r>
            <w:r>
              <w:rPr>
                <w:rFonts w:ascii="Times New Roman" w:hAnsi="Times New Roman"/>
                <w:sz w:val="24"/>
              </w:rPr>
              <w:t xml:space="preserve">овало </w:t>
            </w:r>
            <w:r>
              <w:rPr>
                <w:rFonts w:ascii="Times New Roman" w:hAnsi="Times New Roman"/>
                <w:sz w:val="24"/>
              </w:rPr>
              <w:t xml:space="preserve">491</w:t>
            </w:r>
            <w:r>
              <w:rPr>
                <w:rFonts w:ascii="Times New Roman" w:hAnsi="Times New Roman"/>
                <w:sz w:val="24"/>
              </w:rPr>
              <w:t xml:space="preserve">учреждение, </w:t>
            </w:r>
            <w:r>
              <w:rPr>
                <w:rFonts w:ascii="Times New Roman" w:hAnsi="Times New Roman"/>
                <w:sz w:val="24"/>
              </w:rPr>
              <w:t xml:space="preserve">реализующее</w:t>
            </w:r>
            <w:r>
              <w:rPr>
                <w:rFonts w:ascii="Times New Roman" w:hAnsi="Times New Roman"/>
                <w:sz w:val="24"/>
              </w:rPr>
              <w:t xml:space="preserve"> программы дополнительного образования. </w:t>
            </w:r>
            <w:r>
              <w:rPr>
                <w:rFonts w:ascii="Times New Roman" w:hAnsi="Times New Roman"/>
                <w:bCs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Развитие сети организаций отдыха детей и их оздоровления для обучающихся с инвалидностью,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В республике действуют 16 организаций отдыха и оздоровления детей, в которых созданы условия для проведения инклюзивных смен. Доля составляет 100%.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. Развитие системы психолого-педагогического сопровождения образования обучающихся с инвалидностью, с ОВЗ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9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vMerge w:val="restart"/>
            <w:textDirection w:val="lrTb"/>
            <w:noWrap w:val="false"/>
          </w:tcPr>
          <w:p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Республике Хакасия с 2018 года функционирует автоматизированная информационная система «Навигатор дополнительного образования  детей»</w:t>
            </w:r>
            <w:r>
              <w:rPr>
                <w:rFonts w:ascii="Times New Roman" w:hAnsi="Times New Roman"/>
                <w:sz w:val="24"/>
              </w:rPr>
              <w:t xml:space="preserve"> (далее – АИС «Навигатор ДОД РХ»)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</w:rPr>
              <w:t xml:space="preserve">В соответствии с требованиями Министерства просвещения Российской Федерации для реализа</w:t>
            </w:r>
            <w:r>
              <w:rPr>
                <w:rFonts w:ascii="Times New Roman" w:hAnsi="Times New Roman"/>
                <w:bCs/>
                <w:sz w:val="24"/>
              </w:rPr>
              <w:t xml:space="preserve">ции социального заказа в сфере дополнительного образования накануне нового 2023/2024 учебного года функционал АИС «Навигатор ДОД РХ» был обновлен. Запись на кружки и секции также может осуществляться через портал Государственных услуг Российской Федерации.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данным </w:t>
            </w:r>
            <w:r>
              <w:rPr>
                <w:rFonts w:ascii="Times New Roman" w:hAnsi="Times New Roman"/>
                <w:sz w:val="24"/>
              </w:rPr>
              <w:t xml:space="preserve">АИС «</w:t>
            </w:r>
            <w:r>
              <w:rPr>
                <w:rFonts w:ascii="Times New Roman" w:hAnsi="Times New Roman"/>
                <w:sz w:val="24"/>
              </w:rPr>
              <w:t xml:space="preserve">Навигатор</w:t>
            </w:r>
            <w:r>
              <w:rPr>
                <w:rFonts w:ascii="Times New Roman" w:hAnsi="Times New Roman"/>
                <w:sz w:val="24"/>
              </w:rPr>
              <w:t xml:space="preserve"> ДО РХ» по итогам 2023 года</w:t>
            </w:r>
            <w:r>
              <w:rPr>
                <w:rFonts w:ascii="Times New Roman" w:hAnsi="Times New Roman"/>
                <w:sz w:val="24"/>
              </w:rPr>
              <w:t xml:space="preserve"> в системе дополнительного образования Республики Хакасия функционир</w:t>
            </w:r>
            <w:r>
              <w:rPr>
                <w:rFonts w:ascii="Times New Roman" w:hAnsi="Times New Roman"/>
                <w:sz w:val="24"/>
              </w:rPr>
              <w:t xml:space="preserve">овало </w:t>
            </w:r>
            <w:r>
              <w:rPr>
                <w:rFonts w:ascii="Times New Roman" w:hAnsi="Times New Roman"/>
                <w:sz w:val="24"/>
              </w:rPr>
              <w:t xml:space="preserve">491</w:t>
            </w:r>
            <w:r>
              <w:rPr>
                <w:rFonts w:ascii="Times New Roman" w:hAnsi="Times New Roman"/>
                <w:sz w:val="24"/>
              </w:rPr>
              <w:t xml:space="preserve">учреждение, </w:t>
            </w:r>
            <w:r>
              <w:rPr>
                <w:rFonts w:ascii="Times New Roman" w:hAnsi="Times New Roman"/>
                <w:sz w:val="24"/>
              </w:rPr>
              <w:t xml:space="preserve">реализующее</w:t>
            </w:r>
            <w:r>
              <w:rPr>
                <w:rFonts w:ascii="Times New Roman" w:hAnsi="Times New Roman"/>
                <w:sz w:val="24"/>
              </w:rPr>
              <w:t xml:space="preserve"> программы дополнительного образования. </w:t>
            </w:r>
            <w:r>
              <w:rPr>
                <w:sz w:val="24"/>
              </w:rPr>
            </w:r>
            <w:r/>
          </w:p>
          <w:p>
            <w:pPr>
              <w:ind w:firstLine="0"/>
              <w:jc w:val="both"/>
              <w:tabs>
                <w:tab w:val="left" w:pos="993" w:leader="none"/>
              </w:tabs>
              <w:rPr>
                <w:rFonts w:ascii="Times New Roman" w:hAnsi="Times New Roman" w:eastAsia="Arial"/>
                <w:color w:val="1717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АИС «Навигатор дополнительного образования Республики Хакасия» </w:t>
            </w:r>
            <w:r>
              <w:rPr>
                <w:rFonts w:ascii="Times New Roman" w:hAnsi="Times New Roman" w:eastAsia="Arial"/>
                <w:color w:val="171718"/>
                <w:sz w:val="24"/>
                <w:lang w:eastAsia="ru-RU"/>
              </w:rPr>
              <w:t xml:space="preserve">внесены данные о 6 801 программах дополнительного образования (из них по направленностям: техническая – 483, естественнонаучная – 672, художественная – 2242, туристско-краеведческая – 255, физкультурно-спортивная – 1176, социально-гуманитарная – </w:t>
            </w:r>
            <w:r>
              <w:rPr>
                <w:rFonts w:ascii="Times New Roman" w:hAnsi="Times New Roman" w:eastAsia="Arial"/>
                <w:color w:val="171718"/>
                <w:sz w:val="24"/>
                <w:lang w:eastAsia="ru-RU"/>
              </w:rPr>
              <w:t xml:space="preserve">1973).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 Материалы по вопросам образования и воспитания обучающихся с инвалидностью, с ОВЗ с целью повышения уровня информированности педаг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огических работников размещены на сайтах Министерства образования и науки Республики Хакасия, ГАОУ РХ ДПО «Хакасский институт развития образования и повышения квалификации», ГБУ РХ «Центр психолого-педагогической, медицинской и социальной помощи «Радость».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Совершенствование деятельности психолого-медико-педагогических комиссий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spacing w:lineRule="atLeast" w:line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        В Республике Хакасия действует 12 ПМПК,</w:t>
            </w:r>
            <w:r>
              <w:rPr>
                <w:sz w:val="24"/>
              </w:rPr>
            </w:r>
            <w:r/>
          </w:p>
          <w:p>
            <w:pPr>
              <w:spacing w:lineRule="atLeast" w:line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из них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центральная ПМПК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1;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территориальных ПМПК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11;</w:t>
            </w:r>
            <w:r>
              <w:rPr>
                <w:sz w:val="24"/>
              </w:rPr>
            </w:r>
            <w:r/>
          </w:p>
          <w:p>
            <w:pPr>
              <w:spacing w:lineRule="atLeast" w:line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обследовано на ПМПК ВСЕГО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4397 человек,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из них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:</w:t>
            </w:r>
            <w:r>
              <w:rPr>
                <w:sz w:val="24"/>
              </w:rPr>
            </w:r>
            <w:r/>
          </w:p>
          <w:p>
            <w:pPr>
              <w:spacing w:lineRule="atLeast" w:line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обследовано на центральной ПМПК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265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человек,</w:t>
            </w:r>
            <w:r>
              <w:rPr>
                <w:sz w:val="24"/>
              </w:rPr>
            </w:r>
            <w:r/>
          </w:p>
          <w:p>
            <w:pPr>
              <w:spacing w:lineRule="atLeast" w:line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обследовано на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тер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итори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альн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ых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ПМПК –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4132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человек,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среднее время ожидания обследования на ПМПК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15 дней.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 Развитие информационного пространства образования обучающихся с инвалидностью, с ОВЗ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Материалы по вопросам образования и воспитания обучающихся с инвалидностью, с ОВЗ с целью повышения уровня информированности педаг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огических работников размещены на сайтах Министерства образования и науки Республики Хакасия, ГАОУ РХ ДПО «Хакасский институт развития образования и повышения квалификации», ГБУ РХ «Центр психолого-педагогической, медицинской и социальной помощи «Радость».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2.</w:t>
            </w:r>
            <w:r>
              <w:rPr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ind w:firstLine="743"/>
              <w:jc w:val="both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  <w:t xml:space="preserve">Лучшие практики дополни</w:t>
            </w:r>
            <w:r>
              <w:rPr>
                <w:rFonts w:ascii="Times New Roman" w:hAnsi="Times New Roman"/>
                <w:sz w:val="24"/>
              </w:rPr>
              <w:t xml:space="preserve">тельного образования выявляются посредством проведения конкурсов профессионального мастерства среди педагогических работников организаций, реализующих программы дополнительного образования: республиканский конкурс лучших практик дополнительного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для различных категорий детей «От идеи до реализации», конкурс программ по ранней профессиональной ориентации, конкурс программ и проектов туристско-краеведческой направленности, конкурсы профессионального мастерства педагогов по театральному направлению.</w:t>
            </w:r>
            <w:r>
              <w:rPr>
                <w:rFonts w:ascii="Times New Roman" w:hAnsi="Times New Roman"/>
                <w:sz w:val="24"/>
              </w:rPr>
              <w:t xml:space="preserve"> Программы и проекты победителей конкурсов размещаются в банке лучших практик дополнительного образования Республики Хакасия </w:t>
            </w:r>
            <w:hyperlink r:id="rId12" w:tooltip="http://rcdo19.ru/index.php/depozitarij-luchshikh-praktik-dopolnitelnogo-obrazovaniya-v-respublike-khakasiya" w:history="1">
              <w:r>
                <w:rPr>
                  <w:rStyle w:val="654"/>
                  <w:rFonts w:ascii="Times New Roman" w:hAnsi="Times New Roman"/>
                  <w:color w:val="0000EE"/>
                  <w:sz w:val="24"/>
                </w:rPr>
                <w:t xml:space="preserve">Депозитарий лучших практик дополнительного образования в Республике Хакасия (rcdo19.ru)</w:t>
              </w:r>
            </w:hyperlink>
            <w:r>
              <w:rPr>
                <w:sz w:val="24"/>
              </w:rPr>
            </w:r>
            <w:r/>
          </w:p>
          <w:p>
            <w:pPr>
              <w:ind w:firstLine="709"/>
              <w:jc w:val="both"/>
              <w:spacing w:lineRule="auto" w:line="24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Для педагогов, работающих с детьми с ОВЗ, было организовано проведение региональных этапов всероссийских конкурсов профессионального мастерства: «Учитель-де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фектолог России 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», «Педагог-психолог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 – 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202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», </w:t>
            </w:r>
            <w:r>
              <w:rPr>
                <w:rFonts w:ascii="Times New Roman" w:hAnsi="Times New Roman"/>
                <w:color w:val="auto"/>
                <w:sz w:val="24"/>
                <w:szCs w:val="26"/>
                <w:lang w:eastAsia="ar-SA"/>
              </w:rPr>
              <w:t xml:space="preserve">«Лучшая инклюзивная школа».</w:t>
            </w:r>
            <w:r>
              <w:rPr>
                <w:sz w:val="24"/>
              </w:rPr>
            </w:r>
            <w:r/>
          </w:p>
          <w:p>
            <w:pPr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Школа № 1 г. Саяногорска по итогам участия в федеральном этапе конкурса «Лучшая инклюзивная школа - 2023» награждена дипломом лауреата и дипломом победителя в номинации «Лучшая поддерживающая практика».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en-US"/>
              </w:rPr>
              <w:t xml:space="preserve">VII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. Развитие кадрового обеспечения образования обучающихся с инвалидностью, с ОВЗ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Создание региональных кадровых реестров педагогов-дефектологов, учителей логопедов, специальных психологов в сфере образования.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 Региональным центром по развитию инклюзивного образования в Республике Хакасия сформирован кадровый реестр педагогов. Всего в образовательных учреждениях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739 специалистов психолого-педагогического сопровождения, из них 315 – учителя-логопеды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в 176 учреждениях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297 – педагоги-психологи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в 249 учреждениях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, 127 – учителя-дефектологи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в 95 учреждениях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spacing w:lineRule="atLeast" w:line="240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59" w:type="dxa"/>
            <w:vAlign w:val="top"/>
            <w:vMerge w:val="restart"/>
            <w:textDirection w:val="lrTb"/>
            <w:noWrap w:val="false"/>
          </w:tcPr>
          <w:p>
            <w:pPr>
              <w:spacing w:lineRule="atLeast" w:line="240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Организационно-методические мероприятия по профессиональной ориентации и сопровождению молодых специалистов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0349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 2023 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ду в Республике Хакасия продолж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работа по реализации проекта по профессиональной ориентации обучающихся общеобразовательных организаций «Билет в будущее», проводимого в рамках федерального проекта «Успех каждого ребенка» национального проекта «Образование» (далее – Проект).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  <w:t xml:space="preserve"> В мероприятиях Проекта участвуют 85 общеобразовательных организаций, 19 организаций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являются пл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  <w:t xml:space="preserve">ощадками для профессиональных проб.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firstLine="709"/>
              <w:jc w:val="both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  <w:t xml:space="preserve">В профориентационных уроках приняли участие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  <w:t xml:space="preserve">4 412 учащихся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ru-RU"/>
              </w:rPr>
              <w:t xml:space="preserve">, в том числе учащиеся с ограниченными возможностями здоровья – 36 человек. В 2023 году проведено 82 профессиональных пробы для 859 обучающихся по 51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компетенции. Партнерами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Проекта в 2023  году стали Министерство экономического развития Республики Хакасия, Министерство культуры Республики Хакасия, Фонд развития Республики Хакасия, Хакасский государственный университет им. Н.Ф. Ката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нова, Детский республиканский технопарк «Кванториум», Центр цифрового образования детей «IT-куб», ГТРК «Хакасия», РТС – новости Хакасия.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Кроме того, в целях обеспечения равных возможностей для реализации индивидуальных профессиональных траекторий обучающихся проводится работа по профессиональной навигации 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ьников посредством Всероссийских открытых уроков «ПроеКТОриЯ». Цикл открытых уроков, которые проводятся в режиме онлайн, нацелен на знакомство обучающихся с передовыми индустриями и перспективными профессиями, достижениями отечественной науки и экономики.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br/>
              <w:t xml:space="preserve">В 2023 году в открытых уроках приняли участие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19 000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школьников.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firstLine="709"/>
              <w:jc w:val="both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color w:val="1A1A1A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В Республике Хакасия реализуется целевая модель наставничества молодых педагогов, в том числе учителей-дефектологов и педагогов-психологов, на основании приказа Минобрнауки Хакасии от 23.03.2022 № 100-27 «Об утверждении примерного положения о системе наставничества педагогических работников в образовательной организации в Республике Хакасия».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Итоги проекта «Реализация целевой модели наставничества педагогических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работников в Республике Хакасия» за 2023 г :</w:t>
            </w: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1 Разработана модель наставничества в образовательных организациях РХ по форме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«команда-команда», «руководитель-руководитель», «педагог-педагог».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2 Апробирована модель по форме «команда-команда», «руководитель-руководитель»,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«педагог-педагог» на базе «пилотных» организаций РХ.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3 Выявлены эффективные практики наставничества.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Основные направления проекта в 2023 году: 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Вебинары/семинары (Форма наставничества: руководитель – руководитель,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«Кураторская методика», Эффективные технологии коммуникации, Организация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наставничества в ШНОР);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Педагогическая мастерская «Школа – школе: форма командного наставничества»;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Республиканский конкурс «Эффективные практики наставничества»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(управленческие команды ОО);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Создание регионального единого банка программ наставничества и учебно-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left="0" w:right="0" w:firstLine="0"/>
              <w:spacing w:after="0" w:before="0"/>
              <w:shd w:val="clear" w:fill="FFFFFF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A1A1A"/>
                <w:sz w:val="24"/>
              </w:rPr>
              <w:t xml:space="preserve">методических материалов, отражающих эффективные практики.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</w:p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yellow"/>
              </w:rPr>
            </w:r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en-US"/>
              </w:rPr>
              <w:t xml:space="preserve">VIII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. Повышение качества образования обучающихся с инвалидностью, с ОВЗ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   Численность обучающихся 8 классов с ОВЗ составила 368 человек, из них доля обучающихся в соответствии с ФГОС ООО - 50%. Оценка качества образования обучающихся проводится образовательными организациями в соответствии с графиком проведения контрольных работ, утвержденным руководителем образовательной организации. На региональном уровне мониторинговые исследования качества образования детей с ОВЗ и детей-инвалидов не проводятся.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Численность обучающихся 8 классов с ОВЗ составила 368 человек, из них доля обучающихся в соответствии с ФГОС УО (ИН) - 50%. Оценка качества образования обучающихся проводится обр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азовательными организациями в соответствии с графиком проведения контрольных работ, утвержденным руководителем образовательной организации. На региональном уровне мониторинговые исследования качества образования детей с ОВЗ и детей-инвалидов не проводятся.</w:t>
            </w:r>
            <w:r/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rFonts w:ascii="Times New Roman" w:hAnsi="Times New Roman" w:cs="Times New Roman" w:eastAsia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7"/>
            <w:tcW w:w="15843" w:type="dxa"/>
            <w:vAlign w:val="top"/>
            <w:textDirection w:val="lrTb"/>
            <w:noWrap w:val="false"/>
          </w:tcPr>
          <w:p>
            <w:pPr>
              <w:pStyle w:val="671"/>
              <w:jc w:val="center"/>
              <w:spacing w:lineRule="atLeast" w:line="240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  <w:lang w:val="en-US"/>
              </w:rPr>
              <w:t xml:space="preserve">IX</w:t>
            </w:r>
            <w:r>
              <w:rPr>
                <w:rFonts w:eastAsia="Calibri"/>
                <w:b/>
                <w:sz w:val="24"/>
              </w:rPr>
              <w:t xml:space="preserve">. Мониторинг и контроль исполнения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 xml:space="preserve">законодательства в сфере образования обучающихся с инвалидностью, с ОВЗ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/>
          </w:p>
        </w:tc>
        <w:tc>
          <w:tcPr>
            <w:tcW w:w="2659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sz w:val="20"/>
              </w:rPr>
            </w:pPr>
            <w:r>
              <w:rPr>
                <w:sz w:val="20"/>
              </w:rPr>
              <w:t xml:space="preserve">Мониторинг оценки положения дел в сфере соблюдения права обучающихся с инвалидностью, с ОВЗ на общее и дополнительное образование</w:t>
            </w:r>
            <w:r/>
          </w:p>
        </w:tc>
        <w:tc>
          <w:tcPr>
            <w:gridSpan w:val="4"/>
            <w:tcW w:w="1034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Материалы по вопросам образования и воспитания обучающихся с инвалидностью, с ОВЗ с целью повышения уровня информированности педаг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огических работников размещены на сайтах Министерства образования и науки Республики Хакасия, ГАОУ РХ ДПО «Хакасский институт развития образования и повышения квалификации», ГБУ РХ «Центр психолого-педагогической, медицинской и социальной помощи «Радость».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1"/>
              <w:jc w:val="left"/>
              <w:spacing w:lineRule="atLeast" w:line="240"/>
              <w:rPr>
                <w:sz w:val="20"/>
                <w:highlight w:val="yellow"/>
              </w:rPr>
            </w:pPr>
            <w:r>
              <w:rPr>
                <w:sz w:val="20"/>
                <w:highlight w:val="none"/>
              </w:rPr>
              <w:t xml:space="preserve">   </w:t>
            </w:r>
            <w:r>
              <w:rPr>
                <w:sz w:val="20"/>
                <w:highlight w:val="yellow"/>
              </w:rPr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6840" w:h="11907" w:orient="landscape"/>
      <w:pgMar w:top="1134" w:right="567" w:bottom="1134" w:left="567" w:header="680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times new roman cyr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tabs>
        <w:tab w:val="clear" w:pos="4153" w:leader="none"/>
        <w:tab w:val="center" w:pos="4820" w:leader="none"/>
        <w:tab w:val="clear" w:pos="8306" w:leader="none"/>
        <w:tab w:val="right" w:pos="9072" w:leader="none"/>
      </w:tabs>
      <w:rPr>
        <w:sz w:val="16"/>
      </w:rPr>
    </w:pPr>
    <w:r>
      <w:rPr>
        <w:sz w:val="16"/>
      </w:rPr>
      <w:t xml:space="preserve">ФОРМА ОТЧЕТА </w:t>
    </w:r>
    <w:r>
      <w:rPr>
        <w:sz w:val="16"/>
      </w:rPr>
      <w:t xml:space="preserve">МКП-07</w:t>
    </w:r>
    <w:r>
      <w:rPr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tabs>
        <w:tab w:val="clear" w:pos="4153" w:leader="none"/>
        <w:tab w:val="center" w:pos="4820" w:leader="none"/>
        <w:tab w:val="clear" w:pos="8306" w:leader="none"/>
        <w:tab w:val="right" w:pos="9072" w:leader="none"/>
      </w:tabs>
      <w:rPr>
        <w:sz w:val="16"/>
      </w:rPr>
    </w:pPr>
    <w:r>
      <w:rPr>
        <w:sz w:val="16"/>
      </w:rPr>
      <w:t xml:space="preserve">МКП - 07</w:t>
    </w: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  <w:tabs>
        <w:tab w:val="clear" w:pos="4153" w:leader="none"/>
        <w:tab w:val="clear" w:pos="8306" w:leader="none"/>
      </w:tabs>
    </w:pPr>
    <w:r>
      <w:rPr>
        <w:rStyle w:val="679"/>
      </w:rPr>
      <w:fldChar w:fldCharType="begin"/>
    </w:r>
    <w:r>
      <w:rPr>
        <w:rStyle w:val="679"/>
      </w:rPr>
      <w:instrText xml:space="preserve"> PAGE </w:instrText>
    </w:r>
    <w:r>
      <w:rPr>
        <w:rStyle w:val="679"/>
      </w:rPr>
      <w:fldChar w:fldCharType="separate"/>
    </w:r>
    <w:r>
      <w:rPr>
        <w:rStyle w:val="679"/>
      </w:rPr>
      <w:t xml:space="preserve">15</w:t>
    </w:r>
    <w:r>
      <w:rPr>
        <w:rStyle w:val="679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  <w:tabs>
        <w:tab w:val="clear" w:pos="4153" w:leader="none"/>
        <w:tab w:val="clear" w:pos="8306" w:leader="none"/>
      </w:tabs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hAnsi="Times New Roman CYR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4">
    <w:name w:val="Heading 1"/>
    <w:link w:val="49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5">
    <w:name w:val="Heading 1 Char"/>
    <w:link w:val="494"/>
    <w:uiPriority w:val="9"/>
    <w:rPr>
      <w:rFonts w:ascii="Arial" w:hAnsi="Arial" w:cs="Arial" w:eastAsia="Arial"/>
      <w:sz w:val="40"/>
      <w:szCs w:val="40"/>
    </w:rPr>
  </w:style>
  <w:style w:type="paragraph" w:styleId="496">
    <w:name w:val="Heading 2"/>
    <w:link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7">
    <w:name w:val="Heading 2 Char"/>
    <w:link w:val="496"/>
    <w:uiPriority w:val="9"/>
    <w:rPr>
      <w:rFonts w:ascii="Arial" w:hAnsi="Arial" w:cs="Arial" w:eastAsia="Arial"/>
      <w:sz w:val="34"/>
    </w:rPr>
  </w:style>
  <w:style w:type="paragraph" w:styleId="498">
    <w:name w:val="Heading 3"/>
    <w:link w:val="49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9">
    <w:name w:val="Heading 3 Char"/>
    <w:link w:val="498"/>
    <w:uiPriority w:val="9"/>
    <w:rPr>
      <w:rFonts w:ascii="Arial" w:hAnsi="Arial" w:cs="Arial" w:eastAsia="Arial"/>
      <w:sz w:val="30"/>
      <w:szCs w:val="30"/>
    </w:rPr>
  </w:style>
  <w:style w:type="paragraph" w:styleId="500">
    <w:name w:val="Heading 4"/>
    <w:link w:val="50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01">
    <w:name w:val="Heading 4 Char"/>
    <w:link w:val="500"/>
    <w:uiPriority w:val="9"/>
    <w:rPr>
      <w:rFonts w:ascii="Arial" w:hAnsi="Arial" w:cs="Arial" w:eastAsia="Arial"/>
      <w:b/>
      <w:bCs/>
      <w:sz w:val="26"/>
      <w:szCs w:val="26"/>
    </w:rPr>
  </w:style>
  <w:style w:type="paragraph" w:styleId="502">
    <w:name w:val="Heading 5"/>
    <w:link w:val="50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3">
    <w:name w:val="Heading 5 Char"/>
    <w:link w:val="502"/>
    <w:uiPriority w:val="9"/>
    <w:rPr>
      <w:rFonts w:ascii="Arial" w:hAnsi="Arial" w:cs="Arial" w:eastAsia="Arial"/>
      <w:b/>
      <w:bCs/>
      <w:sz w:val="24"/>
      <w:szCs w:val="24"/>
    </w:rPr>
  </w:style>
  <w:style w:type="paragraph" w:styleId="504">
    <w:name w:val="Heading 6"/>
    <w:link w:val="50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5">
    <w:name w:val="Heading 6 Char"/>
    <w:link w:val="504"/>
    <w:uiPriority w:val="9"/>
    <w:rPr>
      <w:rFonts w:ascii="Arial" w:hAnsi="Arial" w:cs="Arial" w:eastAsia="Arial"/>
      <w:b/>
      <w:bCs/>
      <w:sz w:val="22"/>
      <w:szCs w:val="22"/>
    </w:rPr>
  </w:style>
  <w:style w:type="paragraph" w:styleId="506">
    <w:name w:val="Heading 7"/>
    <w:link w:val="50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7">
    <w:name w:val="Heading 7 Char"/>
    <w:link w:val="5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8">
    <w:name w:val="Heading 8"/>
    <w:link w:val="50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9">
    <w:name w:val="Heading 8 Char"/>
    <w:link w:val="508"/>
    <w:uiPriority w:val="9"/>
    <w:rPr>
      <w:rFonts w:ascii="Arial" w:hAnsi="Arial" w:cs="Arial" w:eastAsia="Arial"/>
      <w:i/>
      <w:iCs/>
      <w:sz w:val="22"/>
      <w:szCs w:val="22"/>
    </w:rPr>
  </w:style>
  <w:style w:type="paragraph" w:styleId="510">
    <w:name w:val="Heading 9"/>
    <w:link w:val="51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1">
    <w:name w:val="Heading 9 Char"/>
    <w:link w:val="510"/>
    <w:uiPriority w:val="9"/>
    <w:rPr>
      <w:rFonts w:ascii="Arial" w:hAnsi="Arial" w:cs="Arial" w:eastAsia="Arial"/>
      <w:i/>
      <w:iCs/>
      <w:sz w:val="21"/>
      <w:szCs w:val="21"/>
    </w:rPr>
  </w:style>
  <w:style w:type="paragraph" w:styleId="512">
    <w:name w:val="List Paragraph"/>
    <w:qFormat/>
    <w:uiPriority w:val="34"/>
    <w:pPr>
      <w:contextualSpacing w:val="true"/>
      <w:ind w:left="720"/>
    </w:pPr>
  </w:style>
  <w:style w:type="paragraph" w:styleId="513">
    <w:name w:val="No Spacing"/>
    <w:qFormat/>
    <w:uiPriority w:val="1"/>
    <w:pPr>
      <w:spacing w:lineRule="auto" w:line="240" w:after="0" w:before="0"/>
    </w:pPr>
  </w:style>
  <w:style w:type="paragraph" w:styleId="514">
    <w:name w:val="Title"/>
    <w:link w:val="51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5">
    <w:name w:val="Title Char"/>
    <w:link w:val="514"/>
    <w:uiPriority w:val="10"/>
    <w:rPr>
      <w:sz w:val="48"/>
      <w:szCs w:val="48"/>
    </w:rPr>
  </w:style>
  <w:style w:type="paragraph" w:styleId="516">
    <w:name w:val="Subtitle"/>
    <w:link w:val="517"/>
    <w:qFormat/>
    <w:uiPriority w:val="11"/>
    <w:rPr>
      <w:sz w:val="24"/>
      <w:szCs w:val="24"/>
    </w:rPr>
    <w:pPr>
      <w:spacing w:after="200" w:before="200"/>
    </w:pPr>
  </w:style>
  <w:style w:type="character" w:styleId="517">
    <w:name w:val="Subtitle Char"/>
    <w:link w:val="516"/>
    <w:uiPriority w:val="11"/>
    <w:rPr>
      <w:sz w:val="24"/>
      <w:szCs w:val="24"/>
    </w:rPr>
  </w:style>
  <w:style w:type="paragraph" w:styleId="518">
    <w:name w:val="Quote"/>
    <w:link w:val="519"/>
    <w:qFormat/>
    <w:uiPriority w:val="29"/>
    <w:rPr>
      <w:i/>
    </w:rPr>
    <w:pPr>
      <w:ind w:left="720" w:right="720"/>
    </w:pPr>
  </w:style>
  <w:style w:type="character" w:styleId="519">
    <w:name w:val="Quote Char"/>
    <w:link w:val="518"/>
    <w:uiPriority w:val="29"/>
    <w:rPr>
      <w:i/>
    </w:rPr>
  </w:style>
  <w:style w:type="paragraph" w:styleId="520">
    <w:name w:val="Intense Quote"/>
    <w:link w:val="52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1">
    <w:name w:val="Intense Quote Char"/>
    <w:link w:val="520"/>
    <w:uiPriority w:val="30"/>
    <w:rPr>
      <w:i/>
    </w:rPr>
  </w:style>
  <w:style w:type="paragraph" w:styleId="522">
    <w:name w:val="Header"/>
    <w:link w:val="52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3">
    <w:name w:val="Header Char"/>
    <w:link w:val="522"/>
    <w:uiPriority w:val="99"/>
  </w:style>
  <w:style w:type="paragraph" w:styleId="524">
    <w:name w:val="Footer"/>
    <w:link w:val="52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5">
    <w:name w:val="Footer Char"/>
    <w:link w:val="524"/>
    <w:uiPriority w:val="99"/>
  </w:style>
  <w:style w:type="paragraph" w:styleId="52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7">
    <w:name w:val="Caption Char"/>
    <w:basedOn w:val="526"/>
    <w:link w:val="524"/>
    <w:uiPriority w:val="99"/>
  </w:style>
  <w:style w:type="table" w:styleId="52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6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7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7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9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2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3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3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3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4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4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54">
    <w:name w:val="Hyperlink"/>
    <w:uiPriority w:val="99"/>
    <w:unhideWhenUsed/>
    <w:rPr>
      <w:color w:val="0000FF" w:themeColor="hyperlink"/>
      <w:u w:val="single"/>
    </w:rPr>
  </w:style>
  <w:style w:type="paragraph" w:styleId="655">
    <w:name w:val="footnote text"/>
    <w:link w:val="656"/>
    <w:uiPriority w:val="99"/>
    <w:semiHidden/>
    <w:unhideWhenUsed/>
    <w:rPr>
      <w:sz w:val="18"/>
    </w:rPr>
    <w:pPr>
      <w:spacing w:lineRule="auto" w:line="240" w:after="40"/>
    </w:pPr>
  </w:style>
  <w:style w:type="character" w:styleId="656">
    <w:name w:val="Footnote Text Char"/>
    <w:link w:val="655"/>
    <w:uiPriority w:val="99"/>
    <w:rPr>
      <w:sz w:val="18"/>
    </w:rPr>
  </w:style>
  <w:style w:type="character" w:styleId="657">
    <w:name w:val="footnote reference"/>
    <w:uiPriority w:val="99"/>
    <w:unhideWhenUsed/>
    <w:rPr>
      <w:vertAlign w:val="superscript"/>
    </w:rPr>
  </w:style>
  <w:style w:type="paragraph" w:styleId="658">
    <w:name w:val="endnote text"/>
    <w:link w:val="659"/>
    <w:uiPriority w:val="99"/>
    <w:semiHidden/>
    <w:unhideWhenUsed/>
    <w:rPr>
      <w:sz w:val="20"/>
    </w:rPr>
    <w:pPr>
      <w:spacing w:lineRule="auto" w:line="240" w:after="0"/>
    </w:pPr>
  </w:style>
  <w:style w:type="character" w:styleId="659">
    <w:name w:val="Endnote Text Char"/>
    <w:link w:val="658"/>
    <w:uiPriority w:val="99"/>
    <w:rPr>
      <w:sz w:val="20"/>
    </w:rPr>
  </w:style>
  <w:style w:type="character" w:styleId="660">
    <w:name w:val="endnote reference"/>
    <w:uiPriority w:val="99"/>
    <w:semiHidden/>
    <w:unhideWhenUsed/>
    <w:rPr>
      <w:vertAlign w:val="superscript"/>
    </w:rPr>
  </w:style>
  <w:style w:type="paragraph" w:styleId="661">
    <w:name w:val="toc 1"/>
    <w:uiPriority w:val="39"/>
    <w:unhideWhenUsed/>
    <w:pPr>
      <w:ind w:left="0" w:right="0" w:firstLine="0"/>
      <w:spacing w:after="57"/>
    </w:pPr>
  </w:style>
  <w:style w:type="paragraph" w:styleId="662">
    <w:name w:val="toc 2"/>
    <w:uiPriority w:val="39"/>
    <w:unhideWhenUsed/>
    <w:pPr>
      <w:ind w:left="283" w:right="0" w:firstLine="0"/>
      <w:spacing w:after="57"/>
    </w:pPr>
  </w:style>
  <w:style w:type="paragraph" w:styleId="663">
    <w:name w:val="toc 3"/>
    <w:uiPriority w:val="39"/>
    <w:unhideWhenUsed/>
    <w:pPr>
      <w:ind w:left="567" w:right="0" w:firstLine="0"/>
      <w:spacing w:after="57"/>
    </w:pPr>
  </w:style>
  <w:style w:type="paragraph" w:styleId="664">
    <w:name w:val="toc 4"/>
    <w:uiPriority w:val="39"/>
    <w:unhideWhenUsed/>
    <w:pPr>
      <w:ind w:left="850" w:right="0" w:firstLine="0"/>
      <w:spacing w:after="57"/>
    </w:pPr>
  </w:style>
  <w:style w:type="paragraph" w:styleId="665">
    <w:name w:val="toc 5"/>
    <w:uiPriority w:val="39"/>
    <w:unhideWhenUsed/>
    <w:pPr>
      <w:ind w:left="1134" w:right="0" w:firstLine="0"/>
      <w:spacing w:after="57"/>
    </w:pPr>
  </w:style>
  <w:style w:type="paragraph" w:styleId="666">
    <w:name w:val="toc 6"/>
    <w:uiPriority w:val="39"/>
    <w:unhideWhenUsed/>
    <w:pPr>
      <w:ind w:left="1417" w:right="0" w:firstLine="0"/>
      <w:spacing w:after="57"/>
    </w:pPr>
  </w:style>
  <w:style w:type="paragraph" w:styleId="667">
    <w:name w:val="toc 7"/>
    <w:uiPriority w:val="39"/>
    <w:unhideWhenUsed/>
    <w:pPr>
      <w:ind w:left="1701" w:right="0" w:firstLine="0"/>
      <w:spacing w:after="57"/>
    </w:pPr>
  </w:style>
  <w:style w:type="paragraph" w:styleId="668">
    <w:name w:val="toc 8"/>
    <w:uiPriority w:val="39"/>
    <w:unhideWhenUsed/>
    <w:pPr>
      <w:ind w:left="1984" w:right="0" w:firstLine="0"/>
      <w:spacing w:after="57"/>
    </w:pPr>
  </w:style>
  <w:style w:type="paragraph" w:styleId="669">
    <w:name w:val="toc 9"/>
    <w:uiPriority w:val="39"/>
    <w:unhideWhenUsed/>
    <w:pPr>
      <w:ind w:left="2268" w:right="0" w:firstLine="0"/>
      <w:spacing w:after="57"/>
    </w:pPr>
  </w:style>
  <w:style w:type="paragraph" w:styleId="670">
    <w:name w:val="TOC Heading"/>
    <w:uiPriority w:val="39"/>
    <w:unhideWhenUsed/>
  </w:style>
  <w:style w:type="paragraph" w:styleId="671">
    <w:name w:val="Обычный"/>
    <w:next w:val="671"/>
    <w:link w:val="671"/>
    <w:rPr>
      <w:rFonts w:ascii="Times New Roman" w:hAnsi="Times New Roman"/>
      <w:sz w:val="28"/>
      <w:lang w:val="ru-RU" w:bidi="ar-SA" w:eastAsia="ru-RU"/>
    </w:rPr>
    <w:pPr>
      <w:jc w:val="both"/>
      <w:spacing w:lineRule="atLeast" w:line="360"/>
    </w:pPr>
  </w:style>
  <w:style w:type="character" w:styleId="672">
    <w:name w:val="Основной шрифт абзаца"/>
    <w:next w:val="672"/>
    <w:link w:val="671"/>
    <w:semiHidden/>
  </w:style>
  <w:style w:type="table" w:styleId="673">
    <w:name w:val="Обычная таблица"/>
    <w:next w:val="673"/>
    <w:link w:val="671"/>
    <w:semiHidden/>
    <w:tblPr/>
  </w:style>
  <w:style w:type="numbering" w:styleId="674">
    <w:name w:val="Нет списка"/>
    <w:next w:val="674"/>
    <w:link w:val="671"/>
    <w:semiHidden/>
  </w:style>
  <w:style w:type="paragraph" w:styleId="675">
    <w:name w:val="Верхний колонтитул"/>
    <w:basedOn w:val="671"/>
    <w:next w:val="675"/>
    <w:link w:val="676"/>
    <w:pPr>
      <w:tabs>
        <w:tab w:val="center" w:pos="4153" w:leader="none"/>
        <w:tab w:val="right" w:pos="8306" w:leader="none"/>
      </w:tabs>
    </w:pPr>
  </w:style>
  <w:style w:type="character" w:styleId="676">
    <w:name w:val="Верхний колонтитул Знак"/>
    <w:next w:val="676"/>
    <w:link w:val="675"/>
    <w:rPr>
      <w:rFonts w:ascii="Times New Roman" w:hAnsi="Times New Roman"/>
      <w:sz w:val="28"/>
    </w:rPr>
  </w:style>
  <w:style w:type="paragraph" w:styleId="677">
    <w:name w:val="Нижний колонтитул"/>
    <w:basedOn w:val="671"/>
    <w:next w:val="677"/>
    <w:link w:val="678"/>
    <w:pPr>
      <w:tabs>
        <w:tab w:val="center" w:pos="4153" w:leader="none"/>
        <w:tab w:val="right" w:pos="8306" w:leader="none"/>
      </w:tabs>
    </w:pPr>
  </w:style>
  <w:style w:type="character" w:styleId="678">
    <w:name w:val="Нижний колонтитул Знак"/>
    <w:next w:val="678"/>
    <w:link w:val="677"/>
    <w:rPr>
      <w:rFonts w:ascii="Times New Roman" w:hAnsi="Times New Roman"/>
      <w:sz w:val="28"/>
    </w:rPr>
  </w:style>
  <w:style w:type="character" w:styleId="679">
    <w:name w:val="Номер страницы"/>
    <w:basedOn w:val="672"/>
    <w:next w:val="679"/>
    <w:link w:val="671"/>
  </w:style>
  <w:style w:type="paragraph" w:styleId="680">
    <w:name w:val="ConsPlusTitle"/>
    <w:next w:val="680"/>
    <w:link w:val="671"/>
    <w:rPr>
      <w:rFonts w:ascii="Calibri" w:hAnsi="Calibri"/>
      <w:b/>
      <w:sz w:val="24"/>
      <w:lang w:val="ru-RU" w:bidi="ar-SA" w:eastAsia="ru-RU"/>
    </w:rPr>
    <w:pPr>
      <w:widowControl w:val="off"/>
    </w:pPr>
  </w:style>
  <w:style w:type="table" w:styleId="681">
    <w:name w:val="Сетка таблицы"/>
    <w:basedOn w:val="673"/>
    <w:next w:val="681"/>
    <w:link w:val="671"/>
    <w:rPr>
      <w:rFonts w:ascii="Calibri" w:hAnsi="Calibri" w:eastAsia="Calibri"/>
      <w:sz w:val="22"/>
      <w:szCs w:val="22"/>
      <w:lang w:eastAsia="en-US"/>
    </w:rPr>
    <w:tblPr/>
  </w:style>
  <w:style w:type="paragraph" w:styleId="682">
    <w:name w:val="Текст выноски"/>
    <w:basedOn w:val="671"/>
    <w:next w:val="682"/>
    <w:link w:val="683"/>
    <w:rPr>
      <w:rFonts w:ascii="Segoe UI" w:hAnsi="Segoe UI" w:eastAsia="Calibri"/>
      <w:sz w:val="18"/>
      <w:szCs w:val="18"/>
      <w:lang w:eastAsia="en-US"/>
    </w:rPr>
    <w:pPr>
      <w:jc w:val="left"/>
      <w:spacing w:lineRule="auto" w:line="240"/>
    </w:pPr>
  </w:style>
  <w:style w:type="character" w:styleId="683">
    <w:name w:val="Текст выноски Знак"/>
    <w:next w:val="683"/>
    <w:link w:val="682"/>
    <w:rPr>
      <w:rFonts w:ascii="Segoe UI" w:hAnsi="Segoe UI" w:eastAsia="Calibri"/>
      <w:sz w:val="18"/>
      <w:szCs w:val="18"/>
      <w:lang w:eastAsia="en-US"/>
    </w:rPr>
  </w:style>
  <w:style w:type="character" w:styleId="684">
    <w:name w:val="Другое_"/>
    <w:next w:val="684"/>
    <w:link w:val="685"/>
    <w:rPr>
      <w:rFonts w:ascii="Times New Roman" w:hAnsi="Times New Roman"/>
    </w:rPr>
  </w:style>
  <w:style w:type="paragraph" w:styleId="685">
    <w:name w:val="Другое"/>
    <w:basedOn w:val="671"/>
    <w:next w:val="685"/>
    <w:link w:val="684"/>
    <w:rPr>
      <w:sz w:val="20"/>
    </w:rPr>
    <w:pPr>
      <w:jc w:val="left"/>
      <w:spacing w:lineRule="auto" w:line="240"/>
      <w:widowControl w:val="off"/>
    </w:pPr>
  </w:style>
  <w:style w:type="character" w:styleId="686">
    <w:name w:val="Знак примечания"/>
    <w:next w:val="686"/>
    <w:link w:val="671"/>
    <w:rPr>
      <w:sz w:val="16"/>
      <w:szCs w:val="16"/>
    </w:rPr>
  </w:style>
  <w:style w:type="paragraph" w:styleId="687">
    <w:name w:val="Текст примечания"/>
    <w:basedOn w:val="671"/>
    <w:next w:val="687"/>
    <w:link w:val="688"/>
    <w:rPr>
      <w:rFonts w:ascii="Calibri" w:hAnsi="Calibri" w:eastAsia="Calibri"/>
      <w:sz w:val="20"/>
      <w:lang w:eastAsia="en-US"/>
    </w:rPr>
    <w:pPr>
      <w:jc w:val="left"/>
      <w:spacing w:lineRule="auto" w:line="240"/>
    </w:pPr>
  </w:style>
  <w:style w:type="character" w:styleId="688">
    <w:name w:val="Текст примечания Знак"/>
    <w:next w:val="688"/>
    <w:link w:val="687"/>
    <w:rPr>
      <w:rFonts w:ascii="Calibri" w:hAnsi="Calibri" w:eastAsia="Calibri"/>
      <w:lang w:eastAsia="en-US"/>
    </w:rPr>
  </w:style>
  <w:style w:type="paragraph" w:styleId="689">
    <w:name w:val="Тема примечания"/>
    <w:basedOn w:val="687"/>
    <w:next w:val="687"/>
    <w:link w:val="690"/>
    <w:rPr>
      <w:rFonts w:ascii="Calibri" w:hAnsi="Calibri" w:eastAsia="Calibri"/>
      <w:b/>
      <w:bCs/>
    </w:rPr>
  </w:style>
  <w:style w:type="character" w:styleId="690">
    <w:name w:val="Тема примечания Знак"/>
    <w:next w:val="690"/>
    <w:link w:val="689"/>
    <w:rPr>
      <w:rFonts w:ascii="Calibri" w:hAnsi="Calibri" w:eastAsia="Calibri"/>
      <w:b/>
      <w:bCs/>
      <w:lang w:eastAsia="en-US"/>
    </w:rPr>
  </w:style>
  <w:style w:type="character" w:styleId="691" w:default="1">
    <w:name w:val="Default Paragraph Font"/>
    <w:uiPriority w:val="1"/>
    <w:semiHidden/>
    <w:unhideWhenUsed/>
  </w:style>
  <w:style w:type="numbering" w:styleId="692" w:default="1">
    <w:name w:val="No List"/>
    <w:uiPriority w:val="99"/>
    <w:semiHidden/>
    <w:unhideWhenUsed/>
  </w:style>
  <w:style w:type="paragraph" w:styleId="693" w:default="1">
    <w:name w:val="Normal"/>
    <w:qFormat/>
  </w:style>
  <w:style w:type="table" w:styleId="694" w:default="1">
    <w:name w:val="Normal Table"/>
    <w:uiPriority w:val="99"/>
    <w:semiHidden/>
    <w:unhideWhenUsed/>
    <w:tblPr/>
  </w:style>
  <w:style w:type="paragraph" w:styleId="1_6712">
    <w:name w:val="Обычный (веб)"/>
    <w:basedOn w:val="412"/>
    <w:next w:val="416"/>
    <w:link w:val="41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://rcdo19.ru/index.php/depozitarij-luchshikh-praktik-dopolnitelnogo-obrazovaniya-v-respublike-khakasiy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2024-03-19T10:48:19Z</dcterms:modified>
</cp:coreProperties>
</file>